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1706FA2" w14:textId="44959255"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w:t>
      </w:r>
      <w:r w:rsidR="0036459E">
        <w:rPr>
          <w:bCs/>
          <w:noProof w:val="0"/>
          <w:sz w:val="24"/>
          <w:szCs w:val="24"/>
        </w:rPr>
        <w:t>11</w:t>
      </w:r>
      <w:r w:rsidR="00065268">
        <w:rPr>
          <w:bCs/>
          <w:noProof w:val="0"/>
          <w:sz w:val="24"/>
          <w:szCs w:val="24"/>
        </w:rPr>
        <w:t>4</w:t>
      </w:r>
      <w:r w:rsidR="00244A05">
        <w:rPr>
          <w:bCs/>
          <w:noProof w:val="0"/>
          <w:sz w:val="24"/>
          <w:szCs w:val="24"/>
        </w:rPr>
        <w:t xml:space="preserve"> Electronic</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009376CD">
        <w:rPr>
          <w:bCs/>
          <w:noProof w:val="0"/>
          <w:sz w:val="24"/>
          <w:szCs w:val="24"/>
        </w:rPr>
        <w:t>2</w:t>
      </w:r>
      <w:r w:rsidR="00C55A12">
        <w:rPr>
          <w:bCs/>
          <w:noProof w:val="0"/>
          <w:sz w:val="24"/>
          <w:szCs w:val="24"/>
        </w:rPr>
        <w:t>10</w:t>
      </w:r>
      <w:r w:rsidR="00CD4544">
        <w:rPr>
          <w:bCs/>
          <w:noProof w:val="0"/>
          <w:sz w:val="24"/>
          <w:szCs w:val="24"/>
        </w:rPr>
        <w:t>4997</w:t>
      </w:r>
    </w:p>
    <w:p w14:paraId="11776FA6" w14:textId="7E8854C2" w:rsidR="00A209D6" w:rsidRPr="00465587" w:rsidRDefault="009928A9" w:rsidP="00A209D6">
      <w:pPr>
        <w:pStyle w:val="Header"/>
        <w:tabs>
          <w:tab w:val="right" w:pos="9639"/>
        </w:tabs>
        <w:rPr>
          <w:rFonts w:eastAsia="SimSun"/>
          <w:bCs/>
          <w:sz w:val="24"/>
          <w:szCs w:val="24"/>
          <w:lang w:eastAsia="zh-CN"/>
        </w:rPr>
      </w:pPr>
      <w:r>
        <w:rPr>
          <w:rFonts w:eastAsia="SimSun"/>
          <w:bCs/>
          <w:sz w:val="24"/>
          <w:szCs w:val="24"/>
          <w:lang w:eastAsia="zh-CN"/>
        </w:rPr>
        <w:t>Elbonia</w:t>
      </w:r>
      <w:r w:rsidR="006574C0" w:rsidRPr="006574C0">
        <w:rPr>
          <w:rFonts w:eastAsia="SimSun"/>
          <w:bCs/>
          <w:sz w:val="24"/>
          <w:szCs w:val="24"/>
          <w:lang w:eastAsia="zh-CN"/>
        </w:rPr>
        <w:t xml:space="preserve">, </w:t>
      </w:r>
      <w:r w:rsidR="006E1057" w:rsidRPr="006E1057">
        <w:rPr>
          <w:rFonts w:eastAsia="SimSun"/>
          <w:bCs/>
          <w:sz w:val="24"/>
          <w:szCs w:val="24"/>
          <w:lang w:eastAsia="zh-CN"/>
        </w:rPr>
        <w:t>1</w:t>
      </w:r>
      <w:r w:rsidR="00065268">
        <w:rPr>
          <w:rFonts w:eastAsia="SimSun"/>
          <w:bCs/>
          <w:sz w:val="24"/>
          <w:szCs w:val="24"/>
          <w:lang w:eastAsia="zh-CN"/>
        </w:rPr>
        <w:t>9</w:t>
      </w:r>
      <w:r w:rsidR="006E1057" w:rsidRPr="006E1057">
        <w:rPr>
          <w:rFonts w:eastAsia="SimSun"/>
          <w:bCs/>
          <w:sz w:val="24"/>
          <w:szCs w:val="24"/>
          <w:lang w:eastAsia="zh-CN"/>
        </w:rPr>
        <w:t xml:space="preserve"> – 2</w:t>
      </w:r>
      <w:r w:rsidR="00065268">
        <w:rPr>
          <w:rFonts w:eastAsia="SimSun"/>
          <w:bCs/>
          <w:sz w:val="24"/>
          <w:szCs w:val="24"/>
          <w:lang w:eastAsia="zh-CN"/>
        </w:rPr>
        <w:t>7</w:t>
      </w:r>
      <w:r w:rsidR="006E1057" w:rsidRPr="006E1057">
        <w:rPr>
          <w:rFonts w:eastAsia="SimSun"/>
          <w:bCs/>
          <w:sz w:val="24"/>
          <w:szCs w:val="24"/>
          <w:lang w:eastAsia="zh-CN"/>
        </w:rPr>
        <w:t xml:space="preserve"> </w:t>
      </w:r>
      <w:r w:rsidR="00065268">
        <w:rPr>
          <w:rFonts w:eastAsia="SimSun"/>
          <w:bCs/>
          <w:sz w:val="24"/>
          <w:szCs w:val="24"/>
          <w:lang w:eastAsia="zh-CN"/>
        </w:rPr>
        <w:t>May</w:t>
      </w:r>
      <w:r w:rsidR="006E1057" w:rsidRPr="006E1057">
        <w:rPr>
          <w:rFonts w:eastAsia="SimSun"/>
          <w:bCs/>
          <w:sz w:val="24"/>
          <w:szCs w:val="24"/>
          <w:lang w:eastAsia="zh-CN"/>
        </w:rPr>
        <w:t xml:space="preserve"> 2021</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4F2899E6"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1D6580">
        <w:rPr>
          <w:rFonts w:cs="Arial"/>
          <w:b/>
          <w:bCs/>
          <w:sz w:val="24"/>
          <w:lang w:eastAsia="ja-JP"/>
        </w:rPr>
        <w:t>8.2.3</w:t>
      </w:r>
      <w:r w:rsidR="004302C0">
        <w:rPr>
          <w:rFonts w:cs="Arial"/>
          <w:b/>
          <w:bCs/>
          <w:sz w:val="24"/>
          <w:lang w:eastAsia="ja-JP"/>
        </w:rPr>
        <w:t>.1</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6340A3B6"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6522CB">
        <w:rPr>
          <w:rFonts w:ascii="Arial" w:hAnsi="Arial" w:cs="Arial"/>
          <w:b/>
          <w:bCs/>
          <w:sz w:val="24"/>
        </w:rPr>
        <w:t xml:space="preserve">On </w:t>
      </w:r>
      <w:r w:rsidR="000341C8">
        <w:rPr>
          <w:rFonts w:ascii="Arial" w:hAnsi="Arial" w:cs="Arial"/>
          <w:b/>
          <w:bCs/>
          <w:sz w:val="24"/>
        </w:rPr>
        <w:t>CPAC Procedures and Further Functionalities</w:t>
      </w:r>
    </w:p>
    <w:p w14:paraId="1F147C23" w14:textId="4B9CDA88"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1D6580" w:rsidRPr="001D6580">
        <w:rPr>
          <w:rFonts w:ascii="Arial" w:hAnsi="Arial" w:cs="Arial"/>
          <w:b/>
          <w:bCs/>
          <w:sz w:val="24"/>
        </w:rPr>
        <w:t>LTE_NR_DC_enh2-Core</w:t>
      </w:r>
      <w:r w:rsidRPr="00112F1A">
        <w:rPr>
          <w:rFonts w:ascii="Arial" w:hAnsi="Arial" w:cs="Arial"/>
          <w:b/>
          <w:bCs/>
          <w:sz w:val="24"/>
        </w:rPr>
        <w:t xml:space="preserve"> </w:t>
      </w:r>
      <w:r>
        <w:rPr>
          <w:rFonts w:ascii="Arial" w:hAnsi="Arial" w:cs="Arial"/>
          <w:b/>
          <w:bCs/>
          <w:sz w:val="24"/>
        </w:rPr>
        <w:t xml:space="preserve">- Release </w:t>
      </w:r>
      <w:r w:rsidR="001D6580">
        <w:rPr>
          <w:rFonts w:ascii="Arial" w:hAnsi="Arial" w:cs="Arial"/>
          <w:b/>
          <w:bCs/>
          <w:sz w:val="24"/>
        </w:rPr>
        <w:t>17</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5ED003DB" w14:textId="70A42B18" w:rsidR="00B34690" w:rsidRDefault="00B34690" w:rsidP="00B34690">
      <w:r>
        <w:t xml:space="preserve">In this contribution, we discuss the open topics for CPAC based on the discussion and agreements made in </w:t>
      </w:r>
      <w:r w:rsidR="00182552">
        <w:t xml:space="preserve">the last two meetings </w:t>
      </w:r>
      <w:r>
        <w:t>RAN2 #113</w:t>
      </w:r>
      <w:r w:rsidR="00182552">
        <w:t xml:space="preserve"> </w:t>
      </w:r>
      <w:r w:rsidR="00182552">
        <w:fldChar w:fldCharType="begin"/>
      </w:r>
      <w:r w:rsidR="00182552">
        <w:instrText xml:space="preserve"> REF _Ref70506028 \r \h </w:instrText>
      </w:r>
      <w:r w:rsidR="00182552">
        <w:fldChar w:fldCharType="separate"/>
      </w:r>
      <w:r w:rsidR="00182552">
        <w:t>[1]</w:t>
      </w:r>
      <w:r w:rsidR="00182552">
        <w:fldChar w:fldCharType="end"/>
      </w:r>
      <w:r>
        <w:t xml:space="preserve"> and RAN2 #113-bis</w:t>
      </w:r>
      <w:r w:rsidR="00182552">
        <w:t xml:space="preserve"> </w:t>
      </w:r>
      <w:r w:rsidR="00182552">
        <w:fldChar w:fldCharType="begin"/>
      </w:r>
      <w:r w:rsidR="00182552">
        <w:instrText xml:space="preserve"> REF _Ref70506035 \r \h </w:instrText>
      </w:r>
      <w:r w:rsidR="00182552">
        <w:fldChar w:fldCharType="separate"/>
      </w:r>
      <w:r w:rsidR="00182552">
        <w:t>[2]</w:t>
      </w:r>
      <w:r w:rsidR="00182552">
        <w:fldChar w:fldCharType="end"/>
      </w:r>
      <w:r w:rsidR="00182552">
        <w:t xml:space="preserve">. </w:t>
      </w:r>
    </w:p>
    <w:p w14:paraId="4F547731" w14:textId="579BDBAC" w:rsidR="00A209D6" w:rsidRPr="006E13D1" w:rsidRDefault="00A209D6" w:rsidP="00B7538C">
      <w:pPr>
        <w:pStyle w:val="Heading1"/>
      </w:pPr>
      <w:r w:rsidRPr="006E13D1">
        <w:t>2</w:t>
      </w:r>
      <w:r w:rsidRPr="006E13D1">
        <w:tab/>
      </w:r>
      <w:r w:rsidR="003F08B0">
        <w:t>Discussion</w:t>
      </w:r>
    </w:p>
    <w:p w14:paraId="5F01C058" w14:textId="581EEF3D" w:rsidR="00A209D6" w:rsidRPr="006E13D1" w:rsidRDefault="00B7538C" w:rsidP="00A209D6">
      <w:pPr>
        <w:pStyle w:val="Heading2"/>
      </w:pPr>
      <w:r>
        <w:t>2</w:t>
      </w:r>
      <w:r w:rsidR="00A209D6" w:rsidRPr="006E13D1">
        <w:t>.1</w:t>
      </w:r>
      <w:r w:rsidR="00A209D6" w:rsidRPr="006E13D1">
        <w:tab/>
      </w:r>
      <w:r w:rsidR="003F08B0">
        <w:t>Release of CPAC Configurations</w:t>
      </w:r>
    </w:p>
    <w:p w14:paraId="452812AE" w14:textId="47C6E636" w:rsidR="007A2E55" w:rsidRDefault="00581231" w:rsidP="007A2E55">
      <w:r>
        <w:rPr>
          <w:noProof/>
        </w:rPr>
        <mc:AlternateContent>
          <mc:Choice Requires="wps">
            <w:drawing>
              <wp:anchor distT="45720" distB="45720" distL="114300" distR="114300" simplePos="0" relativeHeight="251658240" behindDoc="0" locked="0" layoutInCell="1" allowOverlap="1" wp14:anchorId="64469081" wp14:editId="468AFBC8">
                <wp:simplePos x="0" y="0"/>
                <wp:positionH relativeFrom="margin">
                  <wp:align>center</wp:align>
                </wp:positionH>
                <wp:positionV relativeFrom="paragraph">
                  <wp:posOffset>342900</wp:posOffset>
                </wp:positionV>
                <wp:extent cx="5623560" cy="1404620"/>
                <wp:effectExtent l="0" t="0" r="15240" b="1143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23560" cy="1404620"/>
                        </a:xfrm>
                        <a:prstGeom prst="rect">
                          <a:avLst/>
                        </a:prstGeom>
                        <a:solidFill>
                          <a:srgbClr val="FFFFFF"/>
                        </a:solidFill>
                        <a:ln w="9525">
                          <a:solidFill>
                            <a:srgbClr val="000000"/>
                          </a:solidFill>
                          <a:miter lim="800000"/>
                          <a:headEnd/>
                          <a:tailEnd/>
                        </a:ln>
                      </wps:spPr>
                      <wps:txbx>
                        <w:txbxContent>
                          <w:p w14:paraId="54149D08" w14:textId="595B05EF" w:rsidR="00581231" w:rsidRDefault="00581231">
                            <w:r>
                              <w:rPr>
                                <w:rStyle w:val="normaltextrun"/>
                                <w:rFonts w:ascii="Arial" w:hAnsi="Arial" w:cs="Arial"/>
                                <w:b/>
                                <w:bCs/>
                                <w:color w:val="000000"/>
                                <w:shd w:val="clear" w:color="auto" w:fill="FFFFFF"/>
                              </w:rPr>
                              <w:t>11</w:t>
                            </w:r>
                            <w:r>
                              <w:rPr>
                                <w:rStyle w:val="tabchar"/>
                                <w:rFonts w:ascii="Calibri" w:hAnsi="Calibri" w:cs="Calibri"/>
                                <w:color w:val="000000"/>
                                <w:shd w:val="clear" w:color="auto" w:fill="FFFFFF"/>
                              </w:rPr>
                              <w:t xml:space="preserve"> </w:t>
                            </w:r>
                            <w:r>
                              <w:rPr>
                                <w:rStyle w:val="normaltextrun"/>
                                <w:rFonts w:ascii="Arial" w:hAnsi="Arial" w:cs="Arial"/>
                                <w:b/>
                                <w:bCs/>
                                <w:color w:val="000000"/>
                                <w:shd w:val="clear" w:color="auto" w:fill="FFFFFF"/>
                              </w:rPr>
                              <w:t>Working assumption: the configurations of all candidates </w:t>
                            </w:r>
                            <w:proofErr w:type="spellStart"/>
                            <w:r>
                              <w:rPr>
                                <w:rStyle w:val="normaltextrun"/>
                                <w:rFonts w:ascii="Arial" w:hAnsi="Arial" w:cs="Arial"/>
                                <w:b/>
                                <w:bCs/>
                                <w:color w:val="000000"/>
                                <w:shd w:val="clear" w:color="auto" w:fill="FFFFFF"/>
                              </w:rPr>
                              <w:t>PSCell</w:t>
                            </w:r>
                            <w:proofErr w:type="spellEnd"/>
                            <w:r>
                              <w:rPr>
                                <w:rStyle w:val="normaltextrun"/>
                                <w:rFonts w:ascii="Arial" w:hAnsi="Arial" w:cs="Arial"/>
                                <w:b/>
                                <w:bCs/>
                                <w:color w:val="000000"/>
                                <w:shd w:val="clear" w:color="auto" w:fill="FFFFFF"/>
                              </w:rPr>
                              <w:t> configurations for CPA and Inter-SN </w:t>
                            </w:r>
                            <w:proofErr w:type="spellStart"/>
                            <w:r>
                              <w:rPr>
                                <w:rStyle w:val="normaltextrun"/>
                                <w:rFonts w:ascii="Arial" w:hAnsi="Arial" w:cs="Arial"/>
                                <w:b/>
                                <w:bCs/>
                                <w:color w:val="000000"/>
                                <w:shd w:val="clear" w:color="auto" w:fill="FFFFFF"/>
                              </w:rPr>
                              <w:t>PSCell</w:t>
                            </w:r>
                            <w:proofErr w:type="spellEnd"/>
                            <w:r>
                              <w:rPr>
                                <w:rStyle w:val="normaltextrun"/>
                                <w:rFonts w:ascii="Arial" w:hAnsi="Arial" w:cs="Arial"/>
                                <w:b/>
                                <w:bCs/>
                                <w:color w:val="000000"/>
                                <w:shd w:val="clear" w:color="auto" w:fill="FFFFFF"/>
                              </w:rPr>
                              <w:t> change are ‎released upon the successful completion of CPAC, conventional </w:t>
                            </w:r>
                            <w:proofErr w:type="spellStart"/>
                            <w:r>
                              <w:rPr>
                                <w:rStyle w:val="normaltextrun"/>
                                <w:rFonts w:ascii="Arial" w:hAnsi="Arial" w:cs="Arial"/>
                                <w:b/>
                                <w:bCs/>
                                <w:color w:val="000000"/>
                                <w:shd w:val="clear" w:color="auto" w:fill="FFFFFF"/>
                              </w:rPr>
                              <w:t>PSCell</w:t>
                            </w:r>
                            <w:proofErr w:type="spellEnd"/>
                            <w:r>
                              <w:rPr>
                                <w:rStyle w:val="normaltextrun"/>
                                <w:rFonts w:ascii="Arial" w:hAnsi="Arial" w:cs="Arial"/>
                                <w:b/>
                                <w:bCs/>
                                <w:color w:val="000000"/>
                                <w:shd w:val="clear" w:color="auto" w:fill="FFFFFF"/>
                              </w:rPr>
                              <w:t> change or conventional </w:t>
                            </w:r>
                            <w:proofErr w:type="spellStart"/>
                            <w:r>
                              <w:rPr>
                                <w:rStyle w:val="normaltextrun"/>
                                <w:rFonts w:ascii="Arial" w:hAnsi="Arial" w:cs="Arial"/>
                                <w:b/>
                                <w:bCs/>
                                <w:color w:val="000000"/>
                                <w:shd w:val="clear" w:color="auto" w:fill="FFFFFF"/>
                              </w:rPr>
                              <w:t>PSCell</w:t>
                            </w:r>
                            <w:proofErr w:type="spellEnd"/>
                            <w:r>
                              <w:rPr>
                                <w:rStyle w:val="normaltextrun"/>
                                <w:rFonts w:ascii="Calibri" w:hAnsi="Calibri" w:cs="Calibri"/>
                                <w:b/>
                                <w:bCs/>
                                <w:color w:val="000000"/>
                                <w:shd w:val="clear" w:color="auto" w:fill="FFFFFF"/>
                              </w:rPr>
                              <w:t> ‎addition.‎ </w:t>
                            </w:r>
                            <w:r>
                              <w:rPr>
                                <w:rStyle w:val="normaltextrun"/>
                                <w:rFonts w:ascii="Arial" w:hAnsi="Arial" w:cs="Arial"/>
                                <w:b/>
                                <w:bCs/>
                                <w:color w:val="000000"/>
                                <w:shd w:val="clear" w:color="auto" w:fill="FFFFFF"/>
                              </w:rPr>
                              <w:t>This can be revisited if critical issues found in a later stage. </w:t>
                            </w:r>
                            <w:r>
                              <w:rPr>
                                <w:rStyle w:val="eop"/>
                                <w:rFonts w:ascii="Arial" w:hAnsi="Arial" w:cs="Arial"/>
                                <w:b/>
                                <w:bCs/>
                                <w:color w:val="000000"/>
                                <w:shd w:val="clear" w:color="auto" w:fill="FFFFFF"/>
                              </w:rPr>
                              <w:t>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64469081" id="_x0000_t202" coordsize="21600,21600" o:spt="202" path="m,l,21600r21600,l21600,xe">
                <v:stroke joinstyle="miter"/>
                <v:path gradientshapeok="t" o:connecttype="rect"/>
              </v:shapetype>
              <v:shape id="Text Box 2" o:spid="_x0000_s1026" type="#_x0000_t202" style="position:absolute;margin-left:0;margin-top:27pt;width:442.8pt;height:110.6pt;z-index:251658240;visibility:visible;mso-wrap-style:square;mso-width-percent:0;mso-height-percent:200;mso-wrap-distance-left:9pt;mso-wrap-distance-top:3.6pt;mso-wrap-distance-right:9pt;mso-wrap-distance-bottom:3.6pt;mso-position-horizontal:center;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">
                <v:textbox style="mso-fit-shape-to-text:t">
                  <w:txbxContent>
                    <w:p w14:paraId="54149D08" w14:textId="595B05EF" w:rsidR="00581231" w:rsidRDefault="00581231">
                      <w:r>
                        <w:rPr>
                          <w:rStyle w:val="normaltextrun"/>
                          <w:rFonts w:ascii="Arial" w:hAnsi="Arial" w:cs="Arial"/>
                          <w:b/>
                          <w:bCs/>
                          <w:color w:val="000000"/>
                          <w:shd w:val="clear" w:color="auto" w:fill="FFFFFF"/>
                        </w:rPr>
                        <w:t>11</w:t>
                      </w:r>
                      <w:r>
                        <w:rPr>
                          <w:rStyle w:val="tabchar"/>
                          <w:rFonts w:ascii="Calibri" w:hAnsi="Calibri" w:cs="Calibri"/>
                          <w:color w:val="000000"/>
                          <w:shd w:val="clear" w:color="auto" w:fill="FFFFFF"/>
                        </w:rPr>
                        <w:t xml:space="preserve"> </w:t>
                      </w:r>
                      <w:r>
                        <w:rPr>
                          <w:rStyle w:val="normaltextrun"/>
                          <w:rFonts w:ascii="Arial" w:hAnsi="Arial" w:cs="Arial"/>
                          <w:b/>
                          <w:bCs/>
                          <w:color w:val="000000"/>
                          <w:shd w:val="clear" w:color="auto" w:fill="FFFFFF"/>
                        </w:rPr>
                        <w:t>Working assumption: the configurations of all candidates PSCell configurations for CPA and Inter-SN PSCell change are ‎released upon the successful completion of CPAC, conventional PSCell change or conventional PSCell</w:t>
                      </w:r>
                      <w:r>
                        <w:rPr>
                          <w:rStyle w:val="normaltextrun"/>
                          <w:rFonts w:ascii="Calibri" w:hAnsi="Calibri" w:cs="Calibri"/>
                          <w:b/>
                          <w:bCs/>
                          <w:color w:val="000000"/>
                          <w:shd w:val="clear" w:color="auto" w:fill="FFFFFF"/>
                        </w:rPr>
                        <w:t> ‎addition.‎ </w:t>
                      </w:r>
                      <w:r>
                        <w:rPr>
                          <w:rStyle w:val="normaltextrun"/>
                          <w:rFonts w:ascii="Arial" w:hAnsi="Arial" w:cs="Arial"/>
                          <w:b/>
                          <w:bCs/>
                          <w:color w:val="000000"/>
                          <w:shd w:val="clear" w:color="auto" w:fill="FFFFFF"/>
                        </w:rPr>
                        <w:t>This can be revisited if critical issues found in a later stage. </w:t>
                      </w:r>
                      <w:r>
                        <w:rPr>
                          <w:rStyle w:val="eop"/>
                          <w:rFonts w:ascii="Arial" w:hAnsi="Arial" w:cs="Arial"/>
                          <w:b/>
                          <w:bCs/>
                          <w:color w:val="000000"/>
                          <w:shd w:val="clear" w:color="auto" w:fill="FFFFFF"/>
                        </w:rPr>
                        <w:t> </w:t>
                      </w:r>
                    </w:p>
                  </w:txbxContent>
                </v:textbox>
                <w10:wrap type="square" anchorx="margin"/>
              </v:shape>
            </w:pict>
          </mc:Fallback>
        </mc:AlternateContent>
      </w:r>
      <w:r>
        <w:t>In RAN2 #113, the following working assumption has been made for the release of CPAC configurations</w:t>
      </w:r>
      <w:r w:rsidR="00F834E1">
        <w:t>:</w:t>
      </w:r>
    </w:p>
    <w:p w14:paraId="76A871FD" w14:textId="434A27CE" w:rsidR="00581231" w:rsidRDefault="00E70FA1" w:rsidP="007A2E55">
      <w:r>
        <w:br/>
      </w:r>
      <w:r w:rsidR="00581231">
        <w:t>In Rel. 16, the UE releases the configuration</w:t>
      </w:r>
      <w:r w:rsidR="00F834E1">
        <w:t>s</w:t>
      </w:r>
      <w:r w:rsidR="00581231">
        <w:t xml:space="preserve"> of CPC for intra-SN change when the random access to the target </w:t>
      </w:r>
      <w:proofErr w:type="spellStart"/>
      <w:r w:rsidR="00581231">
        <w:t>PSCell</w:t>
      </w:r>
      <w:proofErr w:type="spellEnd"/>
      <w:r w:rsidR="00581231">
        <w:t xml:space="preserve"> is successfully completed</w:t>
      </w:r>
      <w:r w:rsidR="00960D7F">
        <w:t xml:space="preserve">. The same approach can be adopted for </w:t>
      </w:r>
      <w:r w:rsidR="005B2DA6">
        <w:t>CPA and inter-SN CPC</w:t>
      </w:r>
      <w:r w:rsidR="00960D7F">
        <w:t xml:space="preserve"> procedures in Rel. 17.  </w:t>
      </w:r>
      <w:r w:rsidR="00D069C1">
        <w:t xml:space="preserve">We propose to revisit the </w:t>
      </w:r>
      <w:r w:rsidR="00960D7F">
        <w:t xml:space="preserve">wording of </w:t>
      </w:r>
      <w:r w:rsidR="005B2DA6">
        <w:t xml:space="preserve">the </w:t>
      </w:r>
      <w:r w:rsidR="00960D7F">
        <w:t xml:space="preserve">working assumption </w:t>
      </w:r>
      <w:r w:rsidR="00D069C1">
        <w:t xml:space="preserve">and agree on the following proposal which </w:t>
      </w:r>
      <w:r w:rsidR="005C3347">
        <w:t>is</w:t>
      </w:r>
      <w:r w:rsidR="00D069C1">
        <w:t xml:space="preserve"> more consistent with Rel. 16 baseline behaviour.</w:t>
      </w:r>
    </w:p>
    <w:p w14:paraId="45C114B0" w14:textId="6D12F4D5" w:rsidR="005C3347" w:rsidRDefault="005B2DA6" w:rsidP="007A2E55">
      <w:r w:rsidRPr="005B2DA6">
        <w:rPr>
          <w:b/>
          <w:bCs/>
        </w:rPr>
        <w:t>Proposal 1</w:t>
      </w:r>
      <w:r>
        <w:t>: UE releases the CPAC configuration</w:t>
      </w:r>
      <w:r w:rsidR="00F834E1">
        <w:t>s</w:t>
      </w:r>
      <w:r>
        <w:t xml:space="preserve"> when the random access to the target </w:t>
      </w:r>
      <w:proofErr w:type="spellStart"/>
      <w:r>
        <w:t>PSCell</w:t>
      </w:r>
      <w:proofErr w:type="spellEnd"/>
      <w:r>
        <w:t xml:space="preserve"> is successfully completed.</w:t>
      </w:r>
    </w:p>
    <w:p w14:paraId="7098F90D" w14:textId="50DDF235" w:rsidR="00A209D6" w:rsidRPr="006E13D1" w:rsidRDefault="00B7538C" w:rsidP="00A209D6">
      <w:pPr>
        <w:pStyle w:val="Heading2"/>
      </w:pPr>
      <w:r>
        <w:t>2</w:t>
      </w:r>
      <w:r w:rsidR="00A209D6" w:rsidRPr="006E13D1">
        <w:t>.2</w:t>
      </w:r>
      <w:r w:rsidR="00A209D6" w:rsidRPr="006E13D1">
        <w:tab/>
      </w:r>
      <w:r w:rsidR="003F08B0">
        <w:t>Data Forwarding</w:t>
      </w:r>
    </w:p>
    <w:p w14:paraId="5360044F" w14:textId="2AC5A1F7" w:rsidR="00941CCC" w:rsidRDefault="00941CCC" w:rsidP="00941CCC">
      <w:r>
        <w:t xml:space="preserve">In conditional handover (CHO), the serving cell is not aware of the time instant when the UE detaches and starts random access to the target cell when the CHO execution condition is met. As a result, data forwarding as performed in baseline Rel-15 handover was not possible and instead, </w:t>
      </w:r>
      <w:proofErr w:type="gramStart"/>
      <w:r>
        <w:t>early</w:t>
      </w:r>
      <w:proofErr w:type="gramEnd"/>
      <w:r>
        <w:t xml:space="preserve"> and late data forwarding mechanisms were specified</w:t>
      </w:r>
      <w:r w:rsidR="00E70FA1">
        <w:t xml:space="preserve"> in Rel-16</w:t>
      </w:r>
      <w:r>
        <w:t xml:space="preserve">. </w:t>
      </w:r>
    </w:p>
    <w:p w14:paraId="25923566" w14:textId="77777777" w:rsidR="00941CCC" w:rsidRDefault="00941CCC" w:rsidP="00941CCC">
      <w:r>
        <w:t>In CPAC, the situation is different as the UE keeps the radio connection to MN while evaluating and executing CPAC procedure. As such, the network can be made aware instantly of the time when CPAC procedure is executed by the UE.</w:t>
      </w:r>
    </w:p>
    <w:p w14:paraId="751756B4" w14:textId="704CFBD1" w:rsidR="00941CCC" w:rsidRDefault="00941CCC" w:rsidP="00941CCC">
      <w:r w:rsidRPr="00A87E86">
        <w:rPr>
          <w:b/>
          <w:bCs/>
        </w:rPr>
        <w:t xml:space="preserve">Observation </w:t>
      </w:r>
      <w:r w:rsidR="0037638E">
        <w:rPr>
          <w:b/>
          <w:bCs/>
        </w:rPr>
        <w:t>1</w:t>
      </w:r>
      <w:r>
        <w:t xml:space="preserve">: There is no necessity to define early and late data forwarding for CPAC procedure as on-time data forwarding is possible. </w:t>
      </w:r>
    </w:p>
    <w:p w14:paraId="1B6630A1" w14:textId="0EE5EBB2" w:rsidR="00941CCC" w:rsidRPr="005D1CE6" w:rsidRDefault="00941CCC" w:rsidP="00941CCC">
      <w:r>
        <w:t xml:space="preserve">In Rel. 17 CPAC procedures, the UE needs to send anyway an embedded RRC Reconfiguration Complete message to the selected target </w:t>
      </w:r>
      <w:proofErr w:type="spellStart"/>
      <w:r>
        <w:t>PSCell</w:t>
      </w:r>
      <w:proofErr w:type="spellEnd"/>
      <w:r>
        <w:t xml:space="preserve"> via the MN when one of CPAC candidate </w:t>
      </w:r>
      <w:proofErr w:type="spellStart"/>
      <w:r>
        <w:t>PSCells</w:t>
      </w:r>
      <w:proofErr w:type="spellEnd"/>
      <w:r>
        <w:t xml:space="preserve"> satisfies the corresponding CPAC execution condition. In order to route the embedded RRC Reconfiguration Complete message received from UE to the right target SN/</w:t>
      </w:r>
      <w:proofErr w:type="spellStart"/>
      <w:r>
        <w:t>PSCell</w:t>
      </w:r>
      <w:proofErr w:type="spellEnd"/>
      <w:r>
        <w:t>, the MN should know the identity of the target SN/</w:t>
      </w:r>
      <w:proofErr w:type="spellStart"/>
      <w:r>
        <w:t>PSCell</w:t>
      </w:r>
      <w:proofErr w:type="spellEnd"/>
      <w:r>
        <w:t xml:space="preserve"> that the UE will attempt to access. Using this information, MN can then inform the source SN to start data forwarding of SN terminated bearers to the </w:t>
      </w:r>
      <w:r>
        <w:lastRenderedPageBreak/>
        <w:t xml:space="preserve">selected target SN and initiate the release of </w:t>
      </w:r>
      <w:r w:rsidR="00E70FA1">
        <w:t xml:space="preserve">configurations for </w:t>
      </w:r>
      <w:r>
        <w:t xml:space="preserve">non-accessed candidate target </w:t>
      </w:r>
      <w:proofErr w:type="spellStart"/>
      <w:r>
        <w:t>PSCells</w:t>
      </w:r>
      <w:proofErr w:type="spellEnd"/>
      <w:r>
        <w:t>. Similarly, MN can start data forwarding for MN terminated bearers in case they are remapped to target SN.</w:t>
      </w:r>
    </w:p>
    <w:p w14:paraId="3A644012" w14:textId="6DAC40C4" w:rsidR="00941CCC" w:rsidRDefault="00941CCC" w:rsidP="00941CCC">
      <w:r w:rsidRPr="5726A052">
        <w:rPr>
          <w:b/>
          <w:bCs/>
        </w:rPr>
        <w:t xml:space="preserve">Proposal </w:t>
      </w:r>
      <w:r w:rsidR="00DD60A8">
        <w:rPr>
          <w:b/>
          <w:bCs/>
        </w:rPr>
        <w:t>2</w:t>
      </w:r>
      <w:r w:rsidRPr="5726A052">
        <w:rPr>
          <w:b/>
          <w:bCs/>
        </w:rPr>
        <w:t xml:space="preserve">: </w:t>
      </w:r>
      <w:r>
        <w:t xml:space="preserve">UE indicates to MN the target </w:t>
      </w:r>
      <w:proofErr w:type="spellStart"/>
      <w:r>
        <w:t>PSCell</w:t>
      </w:r>
      <w:proofErr w:type="spellEnd"/>
      <w:r>
        <w:t xml:space="preserve"> when the CPAC execution condition is met. Stage 3 details of this indication are to be discussed in RAN2, e.g., indication as a part of RRC Reconfiguration Complete sent by the UE to MN when CPAC condition is met, UL Information Transfer MRDC or separate message. </w:t>
      </w:r>
    </w:p>
    <w:p w14:paraId="32FAB321" w14:textId="43070867" w:rsidR="00941CCC" w:rsidRDefault="00941CCC" w:rsidP="00941CCC">
      <w:r>
        <w:t xml:space="preserve">As data forwarding related decision </w:t>
      </w:r>
      <w:r w:rsidR="00590458">
        <w:t>is</w:t>
      </w:r>
      <w:r>
        <w:t xml:space="preserve"> directly affecting RAN3, we suggest to </w:t>
      </w:r>
      <w:r w:rsidR="00590458">
        <w:t>inform RAN3 about the decision to support on-time data forwarding for CPAC procedures.</w:t>
      </w:r>
    </w:p>
    <w:p w14:paraId="56B6C27E" w14:textId="17EC4B02" w:rsidR="00941CCC" w:rsidRPr="00B93D54" w:rsidRDefault="00941CCC" w:rsidP="00941CCC">
      <w:pPr>
        <w:rPr>
          <w:b/>
          <w:bCs/>
        </w:rPr>
      </w:pPr>
      <w:r w:rsidRPr="00B93D54">
        <w:rPr>
          <w:b/>
          <w:bCs/>
        </w:rPr>
        <w:t xml:space="preserve">Proposal </w:t>
      </w:r>
      <w:r w:rsidR="00AC2844">
        <w:rPr>
          <w:b/>
          <w:bCs/>
        </w:rPr>
        <w:t>3</w:t>
      </w:r>
      <w:r w:rsidRPr="00B93D54">
        <w:rPr>
          <w:b/>
          <w:bCs/>
        </w:rPr>
        <w:t xml:space="preserve">: </w:t>
      </w:r>
      <w:r w:rsidRPr="00B93D54">
        <w:t xml:space="preserve">RAN2 to inform RAN3 about the decision to support on-time data forwarding for CPAC procedures </w:t>
      </w:r>
      <w:r w:rsidR="00960119">
        <w:t xml:space="preserve">while </w:t>
      </w:r>
      <w:r w:rsidR="00C5226A">
        <w:t>concluding the</w:t>
      </w:r>
      <w:r w:rsidRPr="00B93D54">
        <w:t xml:space="preserve"> early </w:t>
      </w:r>
      <w:r w:rsidR="00C5226A">
        <w:t>or</w:t>
      </w:r>
      <w:r w:rsidRPr="00B93D54">
        <w:t xml:space="preserve"> late data forwarding mechanisms</w:t>
      </w:r>
      <w:r w:rsidR="00C5226A">
        <w:t xml:space="preserve"> are not necessary for CPAC</w:t>
      </w:r>
      <w:r w:rsidRPr="00B93D54">
        <w:t>.</w:t>
      </w:r>
      <w:r>
        <w:t xml:space="preserve"> </w:t>
      </w:r>
      <w:r w:rsidRPr="00C53EE5">
        <w:t>X2/</w:t>
      </w:r>
      <w:proofErr w:type="spellStart"/>
      <w:r w:rsidRPr="00C53EE5">
        <w:t>Xn</w:t>
      </w:r>
      <w:proofErr w:type="spellEnd"/>
      <w:r w:rsidRPr="00C53EE5">
        <w:t xml:space="preserve"> signalling to perform on-time data forwarding and release of other, non-accessed target </w:t>
      </w:r>
      <w:proofErr w:type="spellStart"/>
      <w:r w:rsidRPr="00C53EE5">
        <w:t>PSCells</w:t>
      </w:r>
      <w:proofErr w:type="spellEnd"/>
      <w:r>
        <w:t>,</w:t>
      </w:r>
      <w:r w:rsidRPr="00C53EE5">
        <w:t xml:space="preserve"> are</w:t>
      </w:r>
      <w:r>
        <w:t xml:space="preserve"> to be</w:t>
      </w:r>
      <w:r w:rsidRPr="00C53EE5">
        <w:t xml:space="preserve"> discussed in RAN3</w:t>
      </w:r>
      <w:r>
        <w:t>.</w:t>
      </w:r>
    </w:p>
    <w:p w14:paraId="60589379" w14:textId="1084D08D" w:rsidR="003F08B0" w:rsidRPr="006E13D1" w:rsidRDefault="003F08B0" w:rsidP="003F08B0">
      <w:pPr>
        <w:pStyle w:val="Heading2"/>
      </w:pPr>
      <w:r>
        <w:t>2</w:t>
      </w:r>
      <w:r w:rsidRPr="006E13D1">
        <w:t>.</w:t>
      </w:r>
      <w:r w:rsidR="008A5B70">
        <w:t>3</w:t>
      </w:r>
      <w:r w:rsidRPr="006E13D1">
        <w:tab/>
      </w:r>
      <w:r>
        <w:t>Measurement Events for MN-Initiated CPC</w:t>
      </w:r>
    </w:p>
    <w:p w14:paraId="3C4F69C0" w14:textId="61458B4D" w:rsidR="00941CCC" w:rsidRDefault="00070CA6" w:rsidP="00941CCC">
      <w:pPr>
        <w:pStyle w:val="paragraph"/>
        <w:spacing w:before="0" w:beforeAutospacing="0" w:after="0" w:afterAutospacing="0"/>
        <w:textAlignment w:val="baseline"/>
        <w:rPr>
          <w:rStyle w:val="eop"/>
          <w:sz w:val="20"/>
          <w:szCs w:val="20"/>
          <w:lang w:val="en-US"/>
        </w:rPr>
      </w:pPr>
      <w:r>
        <w:rPr>
          <w:rStyle w:val="normaltextrun"/>
          <w:sz w:val="20"/>
          <w:szCs w:val="20"/>
          <w:lang w:val="en-GB"/>
        </w:rPr>
        <w:t>I</w:t>
      </w:r>
      <w:r w:rsidR="00941CCC">
        <w:rPr>
          <w:rStyle w:val="normaltextrun"/>
          <w:sz w:val="20"/>
          <w:szCs w:val="20"/>
          <w:lang w:val="en-GB"/>
        </w:rPr>
        <w:t>t has been discussed that events A3/A5 for CPC and A4/B1 for CPA shall be considered for execution condition. For SN-initiated CPC, SN sets the execution condition and can configure event A3 and A5 for intra- and inter- frequency inter-SN change, respectively.</w:t>
      </w:r>
      <w:r w:rsidR="00941CCC" w:rsidRPr="00941CCC">
        <w:rPr>
          <w:rStyle w:val="eop"/>
          <w:sz w:val="20"/>
          <w:szCs w:val="20"/>
          <w:lang w:val="en-US"/>
        </w:rPr>
        <w:t> </w:t>
      </w:r>
    </w:p>
    <w:p w14:paraId="43FDFB77" w14:textId="77777777" w:rsidR="003D09EC" w:rsidRPr="00941CCC" w:rsidRDefault="003D09EC" w:rsidP="00941CCC">
      <w:pPr>
        <w:pStyle w:val="paragraph"/>
        <w:spacing w:before="0" w:beforeAutospacing="0" w:after="0" w:afterAutospacing="0"/>
        <w:textAlignment w:val="baseline"/>
        <w:rPr>
          <w:rFonts w:ascii="Segoe UI" w:hAnsi="Segoe UI" w:cs="Segoe UI"/>
          <w:sz w:val="18"/>
          <w:szCs w:val="18"/>
          <w:lang w:val="en-US"/>
        </w:rPr>
      </w:pPr>
    </w:p>
    <w:p w14:paraId="4D98BCDF" w14:textId="4FDBD9FC" w:rsidR="00941CCC" w:rsidRDefault="00941CCC" w:rsidP="00941CCC">
      <w:pPr>
        <w:pStyle w:val="paragraph"/>
        <w:spacing w:before="0" w:beforeAutospacing="0" w:after="0" w:afterAutospacing="0"/>
        <w:textAlignment w:val="baseline"/>
        <w:rPr>
          <w:rStyle w:val="eop"/>
          <w:sz w:val="20"/>
          <w:szCs w:val="20"/>
          <w:lang w:val="en-US"/>
        </w:rPr>
      </w:pPr>
      <w:r>
        <w:rPr>
          <w:rStyle w:val="normaltextrun"/>
          <w:sz w:val="20"/>
          <w:szCs w:val="20"/>
          <w:lang w:val="en-GB"/>
        </w:rPr>
        <w:t xml:space="preserve">For MN initiated CPC, MN sets the execution condition. As the source and target SN </w:t>
      </w:r>
      <w:r w:rsidR="00FC3227">
        <w:rPr>
          <w:rStyle w:val="normaltextrun"/>
          <w:sz w:val="20"/>
          <w:szCs w:val="20"/>
          <w:lang w:val="en-GB"/>
        </w:rPr>
        <w:t xml:space="preserve">may </w:t>
      </w:r>
      <w:r>
        <w:rPr>
          <w:rStyle w:val="normaltextrun"/>
          <w:sz w:val="20"/>
          <w:szCs w:val="20"/>
          <w:lang w:val="en-GB"/>
        </w:rPr>
        <w:t>belong to a different RAT than MN, events A3 and A5 cannot be used for intra- and inter- frequency CPC, respectively. This is because events A3 and A5 are for intra-RAT scenarios.</w:t>
      </w:r>
      <w:r w:rsidRPr="00941CCC">
        <w:rPr>
          <w:rStyle w:val="eop"/>
          <w:sz w:val="20"/>
          <w:szCs w:val="20"/>
          <w:lang w:val="en-US"/>
        </w:rPr>
        <w:t> </w:t>
      </w:r>
    </w:p>
    <w:p w14:paraId="202F5DB3" w14:textId="77777777" w:rsidR="00941CCC" w:rsidRPr="00941CCC" w:rsidRDefault="00941CCC" w:rsidP="00941CCC">
      <w:pPr>
        <w:pStyle w:val="paragraph"/>
        <w:spacing w:before="0" w:beforeAutospacing="0" w:after="0" w:afterAutospacing="0"/>
        <w:textAlignment w:val="baseline"/>
        <w:rPr>
          <w:rFonts w:ascii="Segoe UI" w:hAnsi="Segoe UI" w:cs="Segoe UI"/>
          <w:sz w:val="18"/>
          <w:szCs w:val="18"/>
          <w:lang w:val="en-US"/>
        </w:rPr>
      </w:pPr>
    </w:p>
    <w:p w14:paraId="779293D8" w14:textId="1F62949B" w:rsidR="00941CCC" w:rsidRPr="007B229E" w:rsidRDefault="00941CCC" w:rsidP="00941CCC">
      <w:pPr>
        <w:pStyle w:val="paragraph"/>
        <w:spacing w:before="0" w:beforeAutospacing="0" w:after="0" w:afterAutospacing="0"/>
        <w:textAlignment w:val="baseline"/>
        <w:rPr>
          <w:rStyle w:val="eop"/>
          <w:sz w:val="20"/>
          <w:szCs w:val="20"/>
          <w:lang w:val="en-US"/>
        </w:rPr>
      </w:pPr>
      <w:r>
        <w:rPr>
          <w:rStyle w:val="normaltextrun"/>
          <w:b/>
          <w:bCs/>
          <w:sz w:val="20"/>
          <w:szCs w:val="20"/>
          <w:lang w:val="en-GB"/>
        </w:rPr>
        <w:t>Observation </w:t>
      </w:r>
      <w:r w:rsidR="008A5B70">
        <w:rPr>
          <w:rStyle w:val="normaltextrun"/>
          <w:b/>
          <w:bCs/>
          <w:sz w:val="20"/>
          <w:szCs w:val="20"/>
          <w:lang w:val="en-GB"/>
        </w:rPr>
        <w:t>2</w:t>
      </w:r>
      <w:r>
        <w:rPr>
          <w:rStyle w:val="normaltextrun"/>
          <w:b/>
          <w:bCs/>
          <w:sz w:val="20"/>
          <w:szCs w:val="20"/>
          <w:lang w:val="en-GB"/>
        </w:rPr>
        <w:t xml:space="preserve">: </w:t>
      </w:r>
      <w:r w:rsidRPr="007B229E">
        <w:rPr>
          <w:rStyle w:val="normaltextrun"/>
          <w:sz w:val="20"/>
          <w:szCs w:val="20"/>
          <w:lang w:val="en-GB"/>
        </w:rPr>
        <w:t>In MN-initiated inter-SN CPC, intra-RAT events A3 and A5 cannot be configured by MN when the source and target </w:t>
      </w:r>
      <w:proofErr w:type="spellStart"/>
      <w:r w:rsidRPr="007B229E">
        <w:rPr>
          <w:rStyle w:val="normaltextrun"/>
          <w:sz w:val="20"/>
          <w:szCs w:val="20"/>
          <w:lang w:val="en-GB"/>
        </w:rPr>
        <w:t>PSCells</w:t>
      </w:r>
      <w:proofErr w:type="spellEnd"/>
      <w:r w:rsidRPr="007B229E">
        <w:rPr>
          <w:rStyle w:val="normaltextrun"/>
          <w:sz w:val="20"/>
          <w:szCs w:val="20"/>
          <w:lang w:val="en-GB"/>
        </w:rPr>
        <w:t> belong to a different RAT than MN.</w:t>
      </w:r>
      <w:r w:rsidRPr="007B229E">
        <w:rPr>
          <w:rStyle w:val="eop"/>
          <w:sz w:val="20"/>
          <w:szCs w:val="20"/>
          <w:lang w:val="en-US"/>
        </w:rPr>
        <w:t> </w:t>
      </w:r>
    </w:p>
    <w:p w14:paraId="3CF3F898" w14:textId="77777777" w:rsidR="00941CCC" w:rsidRPr="00941CCC" w:rsidRDefault="00941CCC" w:rsidP="00941CCC">
      <w:pPr>
        <w:pStyle w:val="paragraph"/>
        <w:spacing w:before="0" w:beforeAutospacing="0" w:after="0" w:afterAutospacing="0"/>
        <w:textAlignment w:val="baseline"/>
        <w:rPr>
          <w:rFonts w:ascii="Segoe UI" w:hAnsi="Segoe UI" w:cs="Segoe UI"/>
          <w:sz w:val="18"/>
          <w:szCs w:val="18"/>
          <w:lang w:val="en-US"/>
        </w:rPr>
      </w:pPr>
    </w:p>
    <w:p w14:paraId="4D3EC7B2" w14:textId="11F7CE6C" w:rsidR="00941CCC" w:rsidRPr="00941CCC" w:rsidRDefault="00941CCC" w:rsidP="00941CCC">
      <w:pPr>
        <w:pStyle w:val="paragraph"/>
        <w:spacing w:before="0" w:beforeAutospacing="0" w:after="0" w:afterAutospacing="0"/>
        <w:jc w:val="both"/>
        <w:textAlignment w:val="baseline"/>
        <w:rPr>
          <w:rFonts w:ascii="Segoe UI" w:hAnsi="Segoe UI" w:cs="Segoe UI"/>
          <w:sz w:val="18"/>
          <w:szCs w:val="18"/>
          <w:lang w:val="en-US"/>
        </w:rPr>
      </w:pPr>
      <w:r>
        <w:rPr>
          <w:rStyle w:val="normaltextrun"/>
          <w:sz w:val="20"/>
          <w:szCs w:val="20"/>
          <w:lang w:val="en-GB"/>
        </w:rPr>
        <w:t xml:space="preserve">In </w:t>
      </w:r>
      <w:r w:rsidR="00C41CEC">
        <w:rPr>
          <w:rStyle w:val="normaltextrun"/>
          <w:sz w:val="20"/>
          <w:szCs w:val="20"/>
          <w:lang w:val="en-GB"/>
        </w:rPr>
        <w:t xml:space="preserve">Rel. 15 </w:t>
      </w:r>
      <w:r>
        <w:rPr>
          <w:rStyle w:val="normaltextrun"/>
          <w:sz w:val="20"/>
          <w:szCs w:val="20"/>
          <w:lang w:val="en-GB"/>
        </w:rPr>
        <w:t>MN-initiated inter-SN change </w:t>
      </w:r>
      <w:r w:rsidR="00C41CEC">
        <w:rPr>
          <w:rStyle w:val="normaltextrun"/>
          <w:sz w:val="20"/>
          <w:szCs w:val="20"/>
          <w:lang w:val="en-GB"/>
        </w:rPr>
        <w:t>procedure</w:t>
      </w:r>
      <w:r>
        <w:rPr>
          <w:rStyle w:val="normaltextrun"/>
          <w:sz w:val="20"/>
          <w:szCs w:val="20"/>
          <w:lang w:val="en-GB"/>
        </w:rPr>
        <w:t>, MN could configure the UE with inter-RAT measurement event B1 for </w:t>
      </w:r>
      <w:proofErr w:type="spellStart"/>
      <w:r>
        <w:rPr>
          <w:rStyle w:val="normaltextrun"/>
          <w:sz w:val="20"/>
          <w:szCs w:val="20"/>
          <w:lang w:val="en-GB"/>
        </w:rPr>
        <w:t>PSCell</w:t>
      </w:r>
      <w:proofErr w:type="spellEnd"/>
      <w:r>
        <w:rPr>
          <w:rStyle w:val="normaltextrun"/>
          <w:sz w:val="20"/>
          <w:szCs w:val="20"/>
          <w:lang w:val="en-GB"/>
        </w:rPr>
        <w:t> change, i.e., inter-RAT neighbour (target </w:t>
      </w:r>
      <w:proofErr w:type="spellStart"/>
      <w:r>
        <w:rPr>
          <w:rStyle w:val="normaltextrun"/>
          <w:sz w:val="20"/>
          <w:szCs w:val="20"/>
          <w:lang w:val="en-GB"/>
        </w:rPr>
        <w:t>PSCell</w:t>
      </w:r>
      <w:proofErr w:type="spellEnd"/>
      <w:r>
        <w:rPr>
          <w:rStyle w:val="normaltextrun"/>
          <w:sz w:val="20"/>
          <w:szCs w:val="20"/>
          <w:lang w:val="en-GB"/>
        </w:rPr>
        <w:t>) becomes better than a threshold. Upon expiry of the measurement event B1, the UE reports the measurements of target </w:t>
      </w:r>
      <w:proofErr w:type="spellStart"/>
      <w:r>
        <w:rPr>
          <w:rStyle w:val="normaltextrun"/>
          <w:sz w:val="20"/>
          <w:szCs w:val="20"/>
          <w:lang w:val="en-GB"/>
        </w:rPr>
        <w:t>PSCell</w:t>
      </w:r>
      <w:proofErr w:type="spellEnd"/>
      <w:r>
        <w:rPr>
          <w:rStyle w:val="normaltextrun"/>
          <w:sz w:val="20"/>
          <w:szCs w:val="20"/>
          <w:lang w:val="en-GB"/>
        </w:rPr>
        <w:t> as well as the measurements of the serving </w:t>
      </w:r>
      <w:proofErr w:type="spellStart"/>
      <w:r>
        <w:rPr>
          <w:rStyle w:val="normaltextrun"/>
          <w:sz w:val="20"/>
          <w:szCs w:val="20"/>
          <w:lang w:val="en-GB"/>
        </w:rPr>
        <w:t>PSCell</w:t>
      </w:r>
      <w:proofErr w:type="spellEnd"/>
      <w:r>
        <w:rPr>
          <w:rStyle w:val="normaltextrun"/>
          <w:sz w:val="20"/>
          <w:szCs w:val="20"/>
          <w:lang w:val="en-GB"/>
        </w:rPr>
        <w:t xml:space="preserve"> which can be on </w:t>
      </w:r>
      <w:r w:rsidR="00555C2B">
        <w:rPr>
          <w:rStyle w:val="normaltextrun"/>
          <w:sz w:val="20"/>
          <w:szCs w:val="20"/>
          <w:lang w:val="en-GB"/>
        </w:rPr>
        <w:t xml:space="preserve">the </w:t>
      </w:r>
      <w:r>
        <w:rPr>
          <w:rStyle w:val="normaltextrun"/>
          <w:sz w:val="20"/>
          <w:szCs w:val="20"/>
          <w:lang w:val="en-GB"/>
        </w:rPr>
        <w:t>same or different frequency. Using the received measurements, the MN could compare the signal strength/quality of serving and target </w:t>
      </w:r>
      <w:proofErr w:type="spellStart"/>
      <w:r>
        <w:rPr>
          <w:rStyle w:val="normaltextrun"/>
          <w:sz w:val="20"/>
          <w:szCs w:val="20"/>
          <w:lang w:val="en-GB"/>
        </w:rPr>
        <w:t>PSCells</w:t>
      </w:r>
      <w:proofErr w:type="spellEnd"/>
      <w:r>
        <w:rPr>
          <w:rStyle w:val="normaltextrun"/>
          <w:sz w:val="20"/>
          <w:szCs w:val="20"/>
          <w:lang w:val="en-GB"/>
        </w:rPr>
        <w:t> before triggering a </w:t>
      </w:r>
      <w:proofErr w:type="spellStart"/>
      <w:r>
        <w:rPr>
          <w:rStyle w:val="normaltextrun"/>
          <w:sz w:val="20"/>
          <w:szCs w:val="20"/>
          <w:lang w:val="en-GB"/>
        </w:rPr>
        <w:t>PSCell</w:t>
      </w:r>
      <w:proofErr w:type="spellEnd"/>
      <w:r>
        <w:rPr>
          <w:rStyle w:val="normaltextrun"/>
          <w:sz w:val="20"/>
          <w:szCs w:val="20"/>
          <w:lang w:val="en-GB"/>
        </w:rPr>
        <w:t> change. For instance, if target </w:t>
      </w:r>
      <w:proofErr w:type="spellStart"/>
      <w:r>
        <w:rPr>
          <w:rStyle w:val="normaltextrun"/>
          <w:sz w:val="20"/>
          <w:szCs w:val="20"/>
          <w:lang w:val="en-GB"/>
        </w:rPr>
        <w:t>PSCell</w:t>
      </w:r>
      <w:proofErr w:type="spellEnd"/>
      <w:r>
        <w:rPr>
          <w:rStyle w:val="normaltextrun"/>
          <w:sz w:val="20"/>
          <w:szCs w:val="20"/>
          <w:lang w:val="en-GB"/>
        </w:rPr>
        <w:t> is operating on the same frequency </w:t>
      </w:r>
      <w:r w:rsidR="00FC3227">
        <w:rPr>
          <w:rStyle w:val="normaltextrun"/>
          <w:sz w:val="20"/>
          <w:szCs w:val="20"/>
          <w:lang w:val="en-GB"/>
        </w:rPr>
        <w:t>as</w:t>
      </w:r>
      <w:r>
        <w:rPr>
          <w:rStyle w:val="normaltextrun"/>
          <w:sz w:val="20"/>
          <w:szCs w:val="20"/>
          <w:lang w:val="en-GB"/>
        </w:rPr>
        <w:t xml:space="preserve"> source </w:t>
      </w:r>
      <w:proofErr w:type="spellStart"/>
      <w:r>
        <w:rPr>
          <w:rStyle w:val="normaltextrun"/>
          <w:sz w:val="20"/>
          <w:szCs w:val="20"/>
          <w:lang w:val="en-GB"/>
        </w:rPr>
        <w:t>PSCell</w:t>
      </w:r>
      <w:proofErr w:type="spellEnd"/>
      <w:r>
        <w:rPr>
          <w:rStyle w:val="normaltextrun"/>
          <w:sz w:val="20"/>
          <w:szCs w:val="20"/>
          <w:lang w:val="en-GB"/>
        </w:rPr>
        <w:t>, the MN may decide to trigger an inter-SN change if the signal strength of target </w:t>
      </w:r>
      <w:proofErr w:type="spellStart"/>
      <w:r>
        <w:rPr>
          <w:rStyle w:val="normaltextrun"/>
          <w:sz w:val="20"/>
          <w:szCs w:val="20"/>
          <w:lang w:val="en-GB"/>
        </w:rPr>
        <w:t>PSCell</w:t>
      </w:r>
      <w:proofErr w:type="spellEnd"/>
      <w:r>
        <w:rPr>
          <w:rStyle w:val="normaltextrun"/>
          <w:sz w:val="20"/>
          <w:szCs w:val="20"/>
          <w:lang w:val="en-GB"/>
        </w:rPr>
        <w:t> is offset dB better than the serving </w:t>
      </w:r>
      <w:proofErr w:type="spellStart"/>
      <w:r>
        <w:rPr>
          <w:rStyle w:val="normaltextrun"/>
          <w:sz w:val="20"/>
          <w:szCs w:val="20"/>
          <w:lang w:val="en-GB"/>
        </w:rPr>
        <w:t>PSCell</w:t>
      </w:r>
      <w:proofErr w:type="spellEnd"/>
      <w:r>
        <w:rPr>
          <w:rStyle w:val="normaltextrun"/>
          <w:sz w:val="20"/>
          <w:szCs w:val="20"/>
          <w:lang w:val="en-GB"/>
        </w:rPr>
        <w:t>. In another example, if target </w:t>
      </w:r>
      <w:proofErr w:type="spellStart"/>
      <w:r>
        <w:rPr>
          <w:rStyle w:val="normaltextrun"/>
          <w:sz w:val="20"/>
          <w:szCs w:val="20"/>
          <w:lang w:val="en-GB"/>
        </w:rPr>
        <w:t>PSCell</w:t>
      </w:r>
      <w:proofErr w:type="spellEnd"/>
      <w:r>
        <w:rPr>
          <w:rStyle w:val="normaltextrun"/>
          <w:sz w:val="20"/>
          <w:szCs w:val="20"/>
          <w:lang w:val="en-GB"/>
        </w:rPr>
        <w:t> in different SN is operating on different frequency, the MN may decide to trigger the inter-SN change if the signal strength of currently serving </w:t>
      </w:r>
      <w:proofErr w:type="spellStart"/>
      <w:r>
        <w:rPr>
          <w:rStyle w:val="normaltextrun"/>
          <w:sz w:val="20"/>
          <w:szCs w:val="20"/>
          <w:lang w:val="en-GB"/>
        </w:rPr>
        <w:t>PSCell</w:t>
      </w:r>
      <w:proofErr w:type="spellEnd"/>
      <w:r>
        <w:rPr>
          <w:rStyle w:val="normaltextrun"/>
          <w:sz w:val="20"/>
          <w:szCs w:val="20"/>
          <w:lang w:val="en-GB"/>
        </w:rPr>
        <w:t> is below threshold 1 and the signal strength of target </w:t>
      </w:r>
      <w:proofErr w:type="spellStart"/>
      <w:r>
        <w:rPr>
          <w:rStyle w:val="normaltextrun"/>
          <w:sz w:val="20"/>
          <w:szCs w:val="20"/>
          <w:lang w:val="en-GB"/>
        </w:rPr>
        <w:t>PSCell</w:t>
      </w:r>
      <w:proofErr w:type="spellEnd"/>
      <w:r>
        <w:rPr>
          <w:rStyle w:val="normaltextrun"/>
          <w:sz w:val="20"/>
          <w:szCs w:val="20"/>
          <w:lang w:val="en-GB"/>
        </w:rPr>
        <w:t> is higher than threshold 2. This comparison is needed, especially for intra-frequency case, to avoid an S-RLF caused by early triggering of </w:t>
      </w:r>
      <w:proofErr w:type="spellStart"/>
      <w:r>
        <w:rPr>
          <w:rStyle w:val="normaltextrun"/>
          <w:sz w:val="20"/>
          <w:szCs w:val="20"/>
          <w:lang w:val="en-GB"/>
        </w:rPr>
        <w:t>PSCell</w:t>
      </w:r>
      <w:proofErr w:type="spellEnd"/>
      <w:r>
        <w:rPr>
          <w:rStyle w:val="normaltextrun"/>
          <w:sz w:val="20"/>
          <w:szCs w:val="20"/>
          <w:lang w:val="en-GB"/>
        </w:rPr>
        <w:t> change. As in MN-initiated CPC the UE can be configured only with event B1, such comparison cannot be made by the UE which might result in early triggering of CPC or S-RLF.</w:t>
      </w:r>
      <w:r w:rsidRPr="00941CCC">
        <w:rPr>
          <w:rStyle w:val="eop"/>
          <w:sz w:val="20"/>
          <w:szCs w:val="20"/>
          <w:lang w:val="en-US"/>
        </w:rPr>
        <w:t> </w:t>
      </w:r>
    </w:p>
    <w:p w14:paraId="7C7FC5D0" w14:textId="77777777" w:rsidR="00941CCC" w:rsidRPr="00941CCC" w:rsidRDefault="00941CCC" w:rsidP="00941CCC">
      <w:pPr>
        <w:pStyle w:val="paragraph"/>
        <w:spacing w:before="0" w:beforeAutospacing="0" w:after="0" w:afterAutospacing="0"/>
        <w:jc w:val="both"/>
        <w:textAlignment w:val="baseline"/>
        <w:rPr>
          <w:rFonts w:ascii="Segoe UI" w:hAnsi="Segoe UI" w:cs="Segoe UI"/>
          <w:sz w:val="18"/>
          <w:szCs w:val="18"/>
          <w:lang w:val="en-US"/>
        </w:rPr>
      </w:pPr>
      <w:r w:rsidRPr="00941CCC">
        <w:rPr>
          <w:rStyle w:val="eop"/>
          <w:sz w:val="20"/>
          <w:szCs w:val="20"/>
          <w:lang w:val="en-US"/>
        </w:rPr>
        <w:t> </w:t>
      </w:r>
    </w:p>
    <w:p w14:paraId="4CD4A7B6" w14:textId="0DA55ADE" w:rsidR="00941CCC" w:rsidRDefault="00941CCC" w:rsidP="00941CCC">
      <w:pPr>
        <w:pStyle w:val="paragraph"/>
        <w:spacing w:before="0" w:beforeAutospacing="0" w:after="0" w:afterAutospacing="0"/>
        <w:textAlignment w:val="baseline"/>
        <w:rPr>
          <w:rStyle w:val="eop"/>
          <w:sz w:val="20"/>
          <w:szCs w:val="20"/>
          <w:lang w:val="en-US"/>
        </w:rPr>
      </w:pPr>
      <w:r>
        <w:rPr>
          <w:rStyle w:val="normaltextrun"/>
          <w:b/>
          <w:bCs/>
          <w:sz w:val="20"/>
          <w:szCs w:val="20"/>
          <w:lang w:val="en-GB"/>
        </w:rPr>
        <w:t>Observation </w:t>
      </w:r>
      <w:r w:rsidR="007B229E">
        <w:rPr>
          <w:rStyle w:val="normaltextrun"/>
          <w:b/>
          <w:bCs/>
          <w:sz w:val="20"/>
          <w:szCs w:val="20"/>
          <w:lang w:val="en-GB"/>
        </w:rPr>
        <w:t>3</w:t>
      </w:r>
      <w:r>
        <w:rPr>
          <w:rStyle w:val="normaltextrun"/>
          <w:b/>
          <w:bCs/>
          <w:sz w:val="20"/>
          <w:szCs w:val="20"/>
          <w:lang w:val="en-GB"/>
        </w:rPr>
        <w:t xml:space="preserve">: </w:t>
      </w:r>
      <w:r w:rsidRPr="007B229E">
        <w:rPr>
          <w:rStyle w:val="normaltextrun"/>
          <w:sz w:val="20"/>
          <w:szCs w:val="20"/>
          <w:lang w:val="en-GB"/>
        </w:rPr>
        <w:t>In MN-initiated inter-SN CPC, configuring the UE with event B1 is not sufficient as it does not consider the radio link strength/quality of the source </w:t>
      </w:r>
      <w:proofErr w:type="spellStart"/>
      <w:r w:rsidRPr="007B229E">
        <w:rPr>
          <w:rStyle w:val="normaltextrun"/>
          <w:sz w:val="20"/>
          <w:szCs w:val="20"/>
          <w:lang w:val="en-GB"/>
        </w:rPr>
        <w:t>PSCell</w:t>
      </w:r>
      <w:proofErr w:type="spellEnd"/>
      <w:r w:rsidRPr="007B229E">
        <w:rPr>
          <w:rStyle w:val="normaltextrun"/>
          <w:sz w:val="20"/>
          <w:szCs w:val="20"/>
          <w:lang w:val="en-GB"/>
        </w:rPr>
        <w:t> which might result in early CPC execution or S-RLF.</w:t>
      </w:r>
      <w:r w:rsidRPr="00941CCC">
        <w:rPr>
          <w:rStyle w:val="eop"/>
          <w:sz w:val="20"/>
          <w:szCs w:val="20"/>
          <w:lang w:val="en-US"/>
        </w:rPr>
        <w:t> </w:t>
      </w:r>
    </w:p>
    <w:p w14:paraId="4463B0E9" w14:textId="77777777" w:rsidR="00941CCC" w:rsidRPr="00941CCC" w:rsidRDefault="00941CCC" w:rsidP="00941CCC">
      <w:pPr>
        <w:pStyle w:val="paragraph"/>
        <w:spacing w:before="0" w:beforeAutospacing="0" w:after="0" w:afterAutospacing="0"/>
        <w:textAlignment w:val="baseline"/>
        <w:rPr>
          <w:rFonts w:ascii="Segoe UI" w:hAnsi="Segoe UI" w:cs="Segoe UI"/>
          <w:sz w:val="18"/>
          <w:szCs w:val="18"/>
          <w:lang w:val="en-US"/>
        </w:rPr>
      </w:pPr>
    </w:p>
    <w:p w14:paraId="1532C15E" w14:textId="41021AF5" w:rsidR="00941CCC" w:rsidRPr="00941CCC" w:rsidRDefault="00941CCC" w:rsidP="00941CCC">
      <w:pPr>
        <w:pStyle w:val="paragraph"/>
        <w:spacing w:before="0" w:beforeAutospacing="0" w:after="0" w:afterAutospacing="0"/>
        <w:jc w:val="both"/>
        <w:textAlignment w:val="baseline"/>
        <w:rPr>
          <w:rFonts w:ascii="Segoe UI" w:hAnsi="Segoe UI" w:cs="Segoe UI"/>
          <w:sz w:val="18"/>
          <w:szCs w:val="18"/>
          <w:lang w:val="en-US"/>
        </w:rPr>
      </w:pPr>
      <w:r>
        <w:rPr>
          <w:rStyle w:val="normaltextrun"/>
          <w:b/>
          <w:bCs/>
          <w:sz w:val="20"/>
          <w:szCs w:val="20"/>
          <w:lang w:val="en-GB"/>
        </w:rPr>
        <w:t>Proposal </w:t>
      </w:r>
      <w:r w:rsidR="007B229E">
        <w:rPr>
          <w:rStyle w:val="normaltextrun"/>
          <w:b/>
          <w:bCs/>
          <w:sz w:val="20"/>
          <w:szCs w:val="20"/>
          <w:lang w:val="en-GB"/>
        </w:rPr>
        <w:t>3</w:t>
      </w:r>
      <w:r>
        <w:rPr>
          <w:rStyle w:val="normaltextrun"/>
          <w:b/>
          <w:bCs/>
          <w:sz w:val="20"/>
          <w:szCs w:val="20"/>
          <w:lang w:val="en-GB"/>
        </w:rPr>
        <w:t xml:space="preserve">: </w:t>
      </w:r>
      <w:r w:rsidRPr="007B229E">
        <w:rPr>
          <w:rStyle w:val="normaltextrun"/>
          <w:sz w:val="20"/>
          <w:szCs w:val="20"/>
          <w:lang w:val="en-GB"/>
        </w:rPr>
        <w:t>RAN2 to discuss solutions for MN-initiated CPC where the radio link strength/quality of the serving </w:t>
      </w:r>
      <w:proofErr w:type="spellStart"/>
      <w:r w:rsidRPr="007B229E">
        <w:rPr>
          <w:rStyle w:val="normaltextrun"/>
          <w:sz w:val="20"/>
          <w:szCs w:val="20"/>
          <w:lang w:val="en-GB"/>
        </w:rPr>
        <w:t>PSCell</w:t>
      </w:r>
      <w:proofErr w:type="spellEnd"/>
      <w:r w:rsidRPr="007B229E">
        <w:rPr>
          <w:rStyle w:val="normaltextrun"/>
          <w:sz w:val="20"/>
          <w:szCs w:val="20"/>
          <w:lang w:val="en-GB"/>
        </w:rPr>
        <w:t> is considered by the UE when triggering an intra- or inter-frequency CPC</w:t>
      </w:r>
      <w:r>
        <w:rPr>
          <w:rStyle w:val="normaltextrun"/>
          <w:b/>
          <w:bCs/>
          <w:sz w:val="20"/>
          <w:szCs w:val="20"/>
          <w:lang w:val="en-GB"/>
        </w:rPr>
        <w:t>.</w:t>
      </w:r>
      <w:r w:rsidRPr="00941CCC">
        <w:rPr>
          <w:rStyle w:val="eop"/>
          <w:sz w:val="20"/>
          <w:szCs w:val="20"/>
          <w:lang w:val="en-US"/>
        </w:rPr>
        <w:t> </w:t>
      </w:r>
    </w:p>
    <w:p w14:paraId="15FFD9DC" w14:textId="518F0C9E" w:rsidR="003F08B0" w:rsidRPr="006E13D1" w:rsidRDefault="003F08B0" w:rsidP="003F08B0">
      <w:pPr>
        <w:pStyle w:val="Heading2"/>
      </w:pPr>
      <w:r>
        <w:t>2</w:t>
      </w:r>
      <w:r w:rsidRPr="006E13D1">
        <w:t>.</w:t>
      </w:r>
      <w:r>
        <w:t>3</w:t>
      </w:r>
      <w:r w:rsidRPr="006E13D1">
        <w:tab/>
      </w:r>
      <w:r>
        <w:t>CPAC Failure Handling</w:t>
      </w:r>
    </w:p>
    <w:p w14:paraId="38281BCD" w14:textId="6AB6BF27" w:rsidR="00294DC3" w:rsidRDefault="00FE13AB" w:rsidP="003F08B0">
      <w:r>
        <w:t xml:space="preserve">In intra-SN CPC Rel. 16, the UE stops the evaluation of the CPAC execution conditions upon detecting a failure and reports SCG Failure Information to MN. Upon receiving the information from the UE, the network can send an RRC Reconfiguration to trigger a (non-conditional) </w:t>
      </w:r>
      <w:proofErr w:type="spellStart"/>
      <w:r>
        <w:t>PSCell</w:t>
      </w:r>
      <w:proofErr w:type="spellEnd"/>
      <w:r>
        <w:t xml:space="preserve"> change using Rel. 15 procedures or an immediate execut</w:t>
      </w:r>
      <w:r w:rsidR="00A255C9">
        <w:t>ion</w:t>
      </w:r>
      <w:r>
        <w:t xml:space="preserve"> of a CPAC configuration for an already prepared cell. The latter can be performed by updating the parameters of the CPAC execution condition </w:t>
      </w:r>
      <w:r w:rsidR="00200F41">
        <w:t xml:space="preserve">corresponding to a specific target </w:t>
      </w:r>
      <w:proofErr w:type="spellStart"/>
      <w:r w:rsidR="00200F41">
        <w:t>PSCell</w:t>
      </w:r>
      <w:proofErr w:type="spellEnd"/>
      <w:r w:rsidR="00200F41">
        <w:t xml:space="preserve"> </w:t>
      </w:r>
      <w:r>
        <w:t>such that</w:t>
      </w:r>
      <w:r w:rsidR="004E20EB">
        <w:t xml:space="preserve"> the condition</w:t>
      </w:r>
      <w:r>
        <w:t xml:space="preserve"> is fulfilled immediately</w:t>
      </w:r>
      <w:r w:rsidR="00055A14">
        <w:t xml:space="preserve"> after receiving the RRC Reconfiguration, e.g., TTT can be set to 0, offset/threshold to some extreme values.</w:t>
      </w:r>
    </w:p>
    <w:p w14:paraId="06B39AD1" w14:textId="41D99B7F" w:rsidR="005C48D0" w:rsidRDefault="005C48D0" w:rsidP="003F08B0">
      <w:r w:rsidRPr="005C48D0">
        <w:rPr>
          <w:b/>
          <w:bCs/>
        </w:rPr>
        <w:t>Observation 4</w:t>
      </w:r>
      <w:r>
        <w:t>: Following Rel. 16 approach, the UE stops the evaluation of the CPAC execution condition upon detecting an SCG failure and reports SCG Failure Information to MN. Upon receiving the information, the network may reconfigure the UE.</w:t>
      </w:r>
    </w:p>
    <w:p w14:paraId="7CF5C955" w14:textId="7FD024AA" w:rsidR="002E2698" w:rsidRDefault="005865C8" w:rsidP="003F08B0">
      <w:r>
        <w:t xml:space="preserve">The other </w:t>
      </w:r>
      <w:r w:rsidR="00BE1773">
        <w:t>recovery</w:t>
      </w:r>
      <w:r>
        <w:t xml:space="preserve"> approach would be more UE-centric where the UE attempt</w:t>
      </w:r>
      <w:r w:rsidR="00515771">
        <w:t>s</w:t>
      </w:r>
      <w:r>
        <w:t xml:space="preserve"> CPAC execution to another </w:t>
      </w:r>
      <w:r w:rsidR="008E42A6">
        <w:t xml:space="preserve">target </w:t>
      </w:r>
      <w:proofErr w:type="spellStart"/>
      <w:r>
        <w:t>PSCell</w:t>
      </w:r>
      <w:proofErr w:type="spellEnd"/>
      <w:r>
        <w:t xml:space="preserve"> after detecting an SCG failure (</w:t>
      </w:r>
      <w:r w:rsidR="00BA1912">
        <w:t>S-</w:t>
      </w:r>
      <w:r>
        <w:t xml:space="preserve">RLF or </w:t>
      </w:r>
      <w:r w:rsidR="00BA1912">
        <w:t xml:space="preserve">SCG-change </w:t>
      </w:r>
      <w:r>
        <w:t>failure)</w:t>
      </w:r>
      <w:r w:rsidR="00EF769B">
        <w:t xml:space="preserve"> which </w:t>
      </w:r>
      <w:r w:rsidR="00763EFF">
        <w:t xml:space="preserve">would be very </w:t>
      </w:r>
      <w:r w:rsidR="00070BD8">
        <w:t>similar to</w:t>
      </w:r>
      <w:r w:rsidR="0076626B">
        <w:t xml:space="preserve"> CHO recovery</w:t>
      </w:r>
      <w:r w:rsidR="009C2662">
        <w:t xml:space="preserve"> </w:t>
      </w:r>
      <w:r w:rsidR="009C2662">
        <w:lastRenderedPageBreak/>
        <w:t>feature</w:t>
      </w:r>
      <w:r w:rsidR="001C6A0F">
        <w:t xml:space="preserve"> defined for </w:t>
      </w:r>
      <w:proofErr w:type="spellStart"/>
      <w:r w:rsidR="001C6A0F">
        <w:t>PCell</w:t>
      </w:r>
      <w:proofErr w:type="spellEnd"/>
      <w:r w:rsidR="001C6A0F">
        <w:t xml:space="preserve"> in Rel. 16</w:t>
      </w:r>
      <w:r w:rsidR="0076626B">
        <w:t>.</w:t>
      </w:r>
      <w:r w:rsidR="003A1D21">
        <w:t xml:space="preserve"> </w:t>
      </w:r>
      <w:r w:rsidR="002E2698">
        <w:t>This would reduce the recovery time and signalling overhead as the UE does not have to wait for an RRC Reconfiguration to be received from the network.</w:t>
      </w:r>
    </w:p>
    <w:p w14:paraId="2FA8B328" w14:textId="24E4DF67" w:rsidR="003B4FE0" w:rsidRDefault="003B4FE0" w:rsidP="003F08B0">
      <w:r w:rsidRPr="003B4FE0">
        <w:rPr>
          <w:b/>
          <w:bCs/>
        </w:rPr>
        <w:t>Observation 5</w:t>
      </w:r>
      <w:r>
        <w:t>: UE</w:t>
      </w:r>
      <w:r w:rsidR="00D44750">
        <w:t>’s</w:t>
      </w:r>
      <w:r>
        <w:t xml:space="preserve"> CPAC recovery (similar to CHO recovery feature) reduces the recovery time and signalling overhead as the UE does not have to wait for an RRC Reconfiguration to be received from the network.</w:t>
      </w:r>
    </w:p>
    <w:p w14:paraId="31A9D572" w14:textId="5A826136" w:rsidR="00147AC2" w:rsidRDefault="002E2698" w:rsidP="003F08B0">
      <w:r>
        <w:t>As there is no cell selection performed after SCG failure</w:t>
      </w:r>
      <w:r w:rsidR="008E42A6">
        <w:t xml:space="preserve">, </w:t>
      </w:r>
      <w:r w:rsidR="003A1D21">
        <w:t xml:space="preserve">the UE </w:t>
      </w:r>
      <w:r w:rsidR="008E42A6">
        <w:t xml:space="preserve">needs to check if the radio link strength/quality of </w:t>
      </w:r>
      <w:r w:rsidR="00CD3AEC">
        <w:t xml:space="preserve">a given prepared </w:t>
      </w:r>
      <w:r w:rsidR="008E42A6">
        <w:t xml:space="preserve">target </w:t>
      </w:r>
      <w:proofErr w:type="spellStart"/>
      <w:r w:rsidR="008E42A6">
        <w:t>PSCell</w:t>
      </w:r>
      <w:proofErr w:type="spellEnd"/>
      <w:r w:rsidR="008E42A6">
        <w:t xml:space="preserve"> </w:t>
      </w:r>
      <w:r w:rsidR="005953CB">
        <w:t xml:space="preserve">that is selected </w:t>
      </w:r>
      <w:r w:rsidR="00C128AF">
        <w:t>for recovery</w:t>
      </w:r>
      <w:r w:rsidR="008E42A6">
        <w:t xml:space="preserve"> is sufficient enough </w:t>
      </w:r>
      <w:r w:rsidR="00294DC3">
        <w:t>before</w:t>
      </w:r>
      <w:r w:rsidR="008E42A6">
        <w:t xml:space="preserve"> attempting</w:t>
      </w:r>
      <w:r w:rsidR="00294DC3">
        <w:t xml:space="preserve"> another</w:t>
      </w:r>
      <w:r w:rsidR="008E42A6">
        <w:t xml:space="preserve"> CPAC execution. </w:t>
      </w:r>
      <w:r w:rsidR="00147AC2">
        <w:t xml:space="preserve">This is necessary to avoid handover failure if the radio link of the target </w:t>
      </w:r>
      <w:proofErr w:type="spellStart"/>
      <w:r w:rsidR="00147AC2">
        <w:t>PSCell</w:t>
      </w:r>
      <w:proofErr w:type="spellEnd"/>
      <w:r w:rsidR="00147AC2">
        <w:t xml:space="preserve"> is not stable. </w:t>
      </w:r>
      <w:r w:rsidR="008E42A6">
        <w:t xml:space="preserve">This can be performed for instance by checking </w:t>
      </w:r>
      <w:r w:rsidR="003A1D21">
        <w:t xml:space="preserve">if </w:t>
      </w:r>
      <w:r w:rsidR="008E42A6">
        <w:t>the</w:t>
      </w:r>
      <w:r w:rsidR="003A1D21">
        <w:t xml:space="preserve"> radio link strength/quality </w:t>
      </w:r>
      <w:r w:rsidR="008E42A6">
        <w:t xml:space="preserve">of the </w:t>
      </w:r>
      <w:r w:rsidR="00C128AF">
        <w:t xml:space="preserve">given prepared </w:t>
      </w:r>
      <w:r w:rsidR="008E42A6">
        <w:t xml:space="preserve">target </w:t>
      </w:r>
      <w:proofErr w:type="spellStart"/>
      <w:r w:rsidR="008E42A6">
        <w:t>PSCell</w:t>
      </w:r>
      <w:proofErr w:type="spellEnd"/>
      <w:r w:rsidR="008E42A6">
        <w:t xml:space="preserve"> </w:t>
      </w:r>
      <w:r w:rsidR="00C128AF">
        <w:t>(for recovery)</w:t>
      </w:r>
      <w:r w:rsidR="008E42A6">
        <w:t xml:space="preserve"> </w:t>
      </w:r>
      <w:r w:rsidR="003A1D21">
        <w:t xml:space="preserve">exceeds </w:t>
      </w:r>
      <w:r w:rsidR="00C96398">
        <w:t>a</w:t>
      </w:r>
      <w:r w:rsidR="003A1D21">
        <w:t xml:space="preserve"> </w:t>
      </w:r>
      <w:r w:rsidR="00C96398">
        <w:t>threshold that is pre-configured by the network</w:t>
      </w:r>
      <w:r w:rsidR="003A1D21">
        <w:t>.</w:t>
      </w:r>
    </w:p>
    <w:p w14:paraId="2E5509F7" w14:textId="53B3698B" w:rsidR="00147AC2" w:rsidRDefault="00147AC2" w:rsidP="003F08B0">
      <w:r w:rsidRPr="00147AC2">
        <w:rPr>
          <w:b/>
          <w:bCs/>
        </w:rPr>
        <w:t>Observation 6</w:t>
      </w:r>
      <w:r>
        <w:t>: In UE</w:t>
      </w:r>
      <w:r w:rsidR="00D44750">
        <w:t>’s</w:t>
      </w:r>
      <w:r>
        <w:t xml:space="preserve"> CPAC recovery, the UE needs to check radio link of </w:t>
      </w:r>
      <w:r w:rsidR="00BA3206">
        <w:t xml:space="preserve">a given prepared </w:t>
      </w:r>
      <w:r>
        <w:t xml:space="preserve">target </w:t>
      </w:r>
      <w:proofErr w:type="spellStart"/>
      <w:r>
        <w:t>PSCell</w:t>
      </w:r>
      <w:proofErr w:type="spellEnd"/>
      <w:r>
        <w:t xml:space="preserve"> </w:t>
      </w:r>
      <w:r w:rsidR="0057314D">
        <w:t xml:space="preserve">that is selected </w:t>
      </w:r>
      <w:r w:rsidR="00BA3206">
        <w:t>for recovery</w:t>
      </w:r>
      <w:r>
        <w:t xml:space="preserve"> before attempting the execution of another CPAC configuration.</w:t>
      </w:r>
    </w:p>
    <w:p w14:paraId="7E1B1F79" w14:textId="135F5BF1" w:rsidR="00577386" w:rsidRDefault="00294DC3" w:rsidP="003F08B0">
      <w:r>
        <w:t xml:space="preserve">In addition, in case of SCG failure that is caused by </w:t>
      </w:r>
      <w:r w:rsidR="009140F0">
        <w:t xml:space="preserve">a </w:t>
      </w:r>
      <w:r>
        <w:t>handover failure, the UE would have already applied a first CPAC configuration which may consist of a delta MCG</w:t>
      </w:r>
      <w:r w:rsidR="002515BA">
        <w:t xml:space="preserve"> #1</w:t>
      </w:r>
      <w:r w:rsidR="0034008E">
        <w:t xml:space="preserve"> and </w:t>
      </w:r>
      <w:r>
        <w:t xml:space="preserve">SCG </w:t>
      </w:r>
      <w:r w:rsidR="002515BA">
        <w:t xml:space="preserve">#1 </w:t>
      </w:r>
      <w:r w:rsidR="00DF78C9">
        <w:t>parts of radio</w:t>
      </w:r>
      <w:r>
        <w:t xml:space="preserve"> configuration</w:t>
      </w:r>
      <w:r w:rsidR="00DF78C9">
        <w:t>.</w:t>
      </w:r>
      <w:r>
        <w:t xml:space="preserve"> </w:t>
      </w:r>
      <w:r w:rsidR="00DF78C9">
        <w:t>A</w:t>
      </w:r>
      <w:r>
        <w:t xml:space="preserve">pplying another CPAC configuration containing </w:t>
      </w:r>
      <w:r w:rsidR="00DF78C9">
        <w:t xml:space="preserve">yet another </w:t>
      </w:r>
      <w:r>
        <w:t>delta MCG</w:t>
      </w:r>
      <w:r w:rsidR="002515BA">
        <w:t xml:space="preserve"> #2</w:t>
      </w:r>
      <w:r w:rsidR="00DF78C9">
        <w:t xml:space="preserve"> and </w:t>
      </w:r>
      <w:r>
        <w:t xml:space="preserve">SCG </w:t>
      </w:r>
      <w:r w:rsidR="002515BA">
        <w:t xml:space="preserve">#2 </w:t>
      </w:r>
      <w:r w:rsidR="00DF78C9">
        <w:t>parts of radio</w:t>
      </w:r>
      <w:r>
        <w:t xml:space="preserve"> config</w:t>
      </w:r>
      <w:r w:rsidR="00DF78C9">
        <w:t>uration</w:t>
      </w:r>
      <w:r>
        <w:t xml:space="preserve"> may lead to reconfiguration failure as the </w:t>
      </w:r>
      <w:r w:rsidR="002515BA">
        <w:t xml:space="preserve">delta </w:t>
      </w:r>
      <w:r>
        <w:t>MCG</w:t>
      </w:r>
      <w:r w:rsidR="00367E2B">
        <w:t xml:space="preserve"> </w:t>
      </w:r>
      <w:r w:rsidR="002515BA">
        <w:t xml:space="preserve"># 2 part </w:t>
      </w:r>
      <w:r w:rsidR="00367E2B">
        <w:t xml:space="preserve">may not be aligned with the </w:t>
      </w:r>
      <w:r w:rsidR="000E0AC4">
        <w:t xml:space="preserve">MCG part </w:t>
      </w:r>
      <w:r w:rsidR="002515BA">
        <w:t>after</w:t>
      </w:r>
      <w:r>
        <w:t xml:space="preserve"> applying the first CPAC configuration.</w:t>
      </w:r>
      <w:r w:rsidR="00727C1A">
        <w:t xml:space="preserve"> Mechanisms may need to be defined to avoid reconfiguration failure in UE CPAC recovery</w:t>
      </w:r>
      <w:r w:rsidR="008B149D">
        <w:t xml:space="preserve"> by ensuring that the </w:t>
      </w:r>
      <w:r w:rsidR="00C04585">
        <w:t>selected</w:t>
      </w:r>
      <w:r w:rsidR="008B149D">
        <w:t xml:space="preserve"> </w:t>
      </w:r>
      <w:proofErr w:type="spellStart"/>
      <w:r w:rsidR="008B149D">
        <w:t>PSCell</w:t>
      </w:r>
      <w:proofErr w:type="spellEnd"/>
      <w:r w:rsidR="008B149D">
        <w:t xml:space="preserve"> candidate </w:t>
      </w:r>
      <w:r w:rsidR="00C04585">
        <w:t xml:space="preserve">for recovery </w:t>
      </w:r>
      <w:r w:rsidR="008B149D">
        <w:t>has a common configuration baseline</w:t>
      </w:r>
      <w:r w:rsidR="00727C1A">
        <w:t>.</w:t>
      </w:r>
    </w:p>
    <w:p w14:paraId="131CABCA" w14:textId="3C13DBC2" w:rsidR="00727C1A" w:rsidRPr="00727C1A" w:rsidRDefault="00727C1A" w:rsidP="003F08B0">
      <w:r>
        <w:rPr>
          <w:b/>
          <w:bCs/>
        </w:rPr>
        <w:t xml:space="preserve">Observation 7: </w:t>
      </w:r>
      <w:r>
        <w:t xml:space="preserve">Mechanisms may be needed to deal with the reconfiguration failures which may occur when applying another CPAC configuration (containing </w:t>
      </w:r>
      <w:r w:rsidR="001F5708">
        <w:t xml:space="preserve">a different </w:t>
      </w:r>
      <w:r>
        <w:t>delta MCG/SCG config) in UE</w:t>
      </w:r>
      <w:r w:rsidR="00F944E9">
        <w:t>’s</w:t>
      </w:r>
      <w:r>
        <w:t xml:space="preserve"> CPAC recovery.</w:t>
      </w:r>
    </w:p>
    <w:p w14:paraId="275EB583" w14:textId="40E60750" w:rsidR="00B22A5E" w:rsidRDefault="00ED485E" w:rsidP="003F08B0">
      <w:r w:rsidRPr="00ED485E">
        <w:rPr>
          <w:b/>
          <w:bCs/>
        </w:rPr>
        <w:t>Proposal 5</w:t>
      </w:r>
      <w:r>
        <w:t>:</w:t>
      </w:r>
      <w:r w:rsidR="00C61D57">
        <w:t xml:space="preserve"> RAN2 to discuss on the</w:t>
      </w:r>
      <w:r w:rsidR="009351D9">
        <w:t xml:space="preserve"> need for</w:t>
      </w:r>
      <w:r w:rsidR="00C61D57">
        <w:t xml:space="preserve"> support</w:t>
      </w:r>
      <w:r w:rsidR="009351D9">
        <w:t xml:space="preserve">ing </w:t>
      </w:r>
      <w:r w:rsidR="00C61D57">
        <w:t>UE</w:t>
      </w:r>
      <w:r w:rsidR="009351D9">
        <w:t>’s</w:t>
      </w:r>
      <w:r w:rsidR="00C61D57">
        <w:t xml:space="preserve"> CPAC recovery mechanisms in Rel. 17. FFS if the UE still needs to send SCG Failure Information</w:t>
      </w:r>
      <w:r w:rsidR="009351D9">
        <w:t xml:space="preserve"> in such scenario</w:t>
      </w:r>
      <w:r w:rsidR="00C61D57">
        <w:t>.</w:t>
      </w:r>
    </w:p>
    <w:p w14:paraId="5E9742BA" w14:textId="41A776DC" w:rsidR="00C61D57" w:rsidRDefault="00C61D57" w:rsidP="003F08B0">
      <w:r>
        <w:t>As any UE CPAC recovery mechanism would be an optional feature (like CHO recovery), a UE not supporting this feature (or the feature is not enabled for the UE by the network) should follow Rel. 16 failure handling mechanism</w:t>
      </w:r>
      <w:r w:rsidR="009351D9">
        <w:t xml:space="preserve"> and send the SCG Failure Information</w:t>
      </w:r>
      <w:r>
        <w:t>.</w:t>
      </w:r>
    </w:p>
    <w:p w14:paraId="42BFD455" w14:textId="63048EC5" w:rsidR="00577386" w:rsidRDefault="00C61D57" w:rsidP="003F08B0">
      <w:r w:rsidRPr="00C61D57">
        <w:rPr>
          <w:b/>
          <w:bCs/>
        </w:rPr>
        <w:t>Proposal 6</w:t>
      </w:r>
      <w:r>
        <w:t xml:space="preserve">: In case the UE does not support CPAC recovery mechanism (or the feature is not enabled for the UE by the network), the UE stops the evaluation of the CPAC conditional reconfiguration upon detecting an SCG failure and reports SCG Failure Information to </w:t>
      </w:r>
      <w:r w:rsidR="006741F3">
        <w:t>MN (as performed in Rel. 16)</w:t>
      </w:r>
      <w:r>
        <w:t>.</w:t>
      </w:r>
    </w:p>
    <w:p w14:paraId="77FD63F3" w14:textId="494A2266" w:rsidR="003F08B0" w:rsidRPr="006E13D1" w:rsidRDefault="003F08B0" w:rsidP="003F08B0">
      <w:pPr>
        <w:pStyle w:val="Heading2"/>
      </w:pPr>
      <w:r>
        <w:t>2</w:t>
      </w:r>
      <w:r w:rsidRPr="006E13D1">
        <w:t>.</w:t>
      </w:r>
      <w:r>
        <w:t>4</w:t>
      </w:r>
      <w:r w:rsidRPr="006E13D1">
        <w:tab/>
      </w:r>
      <w:r>
        <w:t>SCG Failure Information</w:t>
      </w:r>
    </w:p>
    <w:p w14:paraId="53B4DCB9" w14:textId="77777777" w:rsidR="00941CCC" w:rsidRPr="003056E7" w:rsidRDefault="00941CCC" w:rsidP="00941CCC">
      <w:r w:rsidRPr="003056E7">
        <w:t>In Rel-16 it was decided that the UE reports Failure Information towards the MN when CPC procedure fails, as per the following agreement:</w:t>
      </w:r>
    </w:p>
    <w:tbl>
      <w:tblPr>
        <w:tblStyle w:val="TableGrid"/>
        <w:tblW w:w="0" w:type="auto"/>
        <w:tblLook w:val="04A0" w:firstRow="1" w:lastRow="0" w:firstColumn="1" w:lastColumn="0" w:noHBand="0" w:noVBand="1"/>
      </w:tblPr>
      <w:tblGrid>
        <w:gridCol w:w="9631"/>
      </w:tblGrid>
      <w:tr w:rsidR="00941CCC" w:rsidRPr="003056E7" w14:paraId="65019EE3" w14:textId="77777777" w:rsidTr="006C5059">
        <w:tc>
          <w:tcPr>
            <w:tcW w:w="9631" w:type="dxa"/>
          </w:tcPr>
          <w:p w14:paraId="5C8492D3" w14:textId="77777777" w:rsidR="00941CCC" w:rsidRPr="003056E7" w:rsidRDefault="00941CCC" w:rsidP="006C5059">
            <w:r w:rsidRPr="003056E7">
              <w:t xml:space="preserve">The content of </w:t>
            </w:r>
            <w:proofErr w:type="spellStart"/>
            <w:r w:rsidRPr="003056E7">
              <w:t>FailureReportSCG</w:t>
            </w:r>
            <w:proofErr w:type="spellEnd"/>
            <w:r w:rsidRPr="003056E7">
              <w:t xml:space="preserve"> for CPC procedure failure should include </w:t>
            </w:r>
            <w:proofErr w:type="spellStart"/>
            <w:r w:rsidRPr="003056E7">
              <w:t>failureType</w:t>
            </w:r>
            <w:proofErr w:type="spellEnd"/>
            <w:r w:rsidRPr="003056E7">
              <w:t xml:space="preserve">, </w:t>
            </w:r>
            <w:proofErr w:type="spellStart"/>
            <w:r w:rsidRPr="003056E7">
              <w:t>measResultFreqList</w:t>
            </w:r>
            <w:proofErr w:type="spellEnd"/>
            <w:r w:rsidRPr="003056E7">
              <w:t xml:space="preserve"> and </w:t>
            </w:r>
            <w:proofErr w:type="spellStart"/>
            <w:r w:rsidRPr="003056E7">
              <w:t>measuResultSCG</w:t>
            </w:r>
            <w:proofErr w:type="spellEnd"/>
            <w:r w:rsidRPr="003056E7">
              <w:t xml:space="preserve">-Failure. These parameters are set according to the exiting </w:t>
            </w:r>
            <w:proofErr w:type="spellStart"/>
            <w:r w:rsidRPr="003056E7">
              <w:t>SCGFailureInformation</w:t>
            </w:r>
            <w:proofErr w:type="spellEnd"/>
            <w:r w:rsidRPr="003056E7">
              <w:t xml:space="preserve"> procedure. (same as legacy)</w:t>
            </w:r>
          </w:p>
        </w:tc>
      </w:tr>
    </w:tbl>
    <w:p w14:paraId="0A395C6F" w14:textId="77777777" w:rsidR="00941CCC" w:rsidRPr="003056E7" w:rsidRDefault="00941CCC" w:rsidP="00941CCC">
      <w:r w:rsidRPr="003056E7">
        <w:br/>
        <w:t>However, quite many companies have found such approach (i.e. to reuse the legacy operation without any CPC-specific modifications) suboptimal and agreed to follow such path mainly due to the lack of time to specify more advanced mechanisms. Thus, in Rel-17 we suggest to re</w:t>
      </w:r>
      <w:r>
        <w:t>-o</w:t>
      </w:r>
      <w:r w:rsidRPr="003056E7">
        <w:t>pen the topic and thoroughly consider what kind of CPC/CPA specific aspects can be reported in such Failure Information towards the MN. It is especially peculiar to agree no changes to SCG Failure Information are needed in the beginning of the WI</w:t>
      </w:r>
      <w:r>
        <w:t xml:space="preserve"> (as suggested in some of the papers)</w:t>
      </w:r>
      <w:r w:rsidRPr="003056E7">
        <w:t>, when not much is known on what will be standardized. Please note that current framework allows to provide only the raw measurement results and indicate the legacy failure type (e.g. T310 expiry). As the reporting occurs towards the MN and MCG may not be aware of the CPC configuration</w:t>
      </w:r>
      <w:r>
        <w:t xml:space="preserve"> (when CPC is configured without MN’s involvement)</w:t>
      </w:r>
      <w:r w:rsidRPr="003056E7">
        <w:t>, it would be desired to provide more details in such report.</w:t>
      </w:r>
    </w:p>
    <w:p w14:paraId="559BCC5D" w14:textId="20DF0443" w:rsidR="00941CCC" w:rsidRPr="003056E7" w:rsidRDefault="00941CCC" w:rsidP="00941CCC">
      <w:pPr>
        <w:rPr>
          <w:b/>
          <w:bCs/>
        </w:rPr>
      </w:pPr>
      <w:r w:rsidRPr="003056E7">
        <w:rPr>
          <w:b/>
          <w:bCs/>
        </w:rPr>
        <w:t xml:space="preserve">Proposal </w:t>
      </w:r>
      <w:r w:rsidR="00FC52B2">
        <w:rPr>
          <w:b/>
          <w:bCs/>
        </w:rPr>
        <w:t>7</w:t>
      </w:r>
      <w:r w:rsidRPr="003056E7">
        <w:rPr>
          <w:b/>
          <w:bCs/>
        </w:rPr>
        <w:t xml:space="preserve">: </w:t>
      </w:r>
      <w:r w:rsidRPr="00B06D95">
        <w:t xml:space="preserve">RAN2 is asked to discuss what other SCG Failure Information components to specify for CPC and CPA. </w:t>
      </w:r>
    </w:p>
    <w:p w14:paraId="54FBF4E9" w14:textId="77777777" w:rsidR="00941CCC" w:rsidRPr="003056E7" w:rsidRDefault="00941CCC" w:rsidP="00941CCC">
      <w:r w:rsidRPr="003056E7">
        <w:t xml:space="preserve">What additional </w:t>
      </w:r>
      <w:r>
        <w:t>parameters/IEs</w:t>
      </w:r>
      <w:r w:rsidRPr="003056E7">
        <w:t xml:space="preserve"> could be considered? For example, when SRB3 is used</w:t>
      </w:r>
      <w:r>
        <w:t xml:space="preserve"> in case of intra-SN CPC</w:t>
      </w:r>
      <w:r w:rsidRPr="003056E7">
        <w:t xml:space="preserve"> (and the MN could have been not aware of CPC), the SCG Failure Indication may include an information that CPC was pending/has been prepared. It can also contain the list of measurements, especially for those cells for which the UE has been prepared with CPC (i.e. candidate </w:t>
      </w:r>
      <w:proofErr w:type="spellStart"/>
      <w:r w:rsidRPr="003056E7">
        <w:t>PSCells</w:t>
      </w:r>
      <w:proofErr w:type="spellEnd"/>
      <w:r w:rsidRPr="003056E7">
        <w:t xml:space="preserve">). That shall help the MN to choose the right cell to execute subsequent recovery actions. Eventually, SCG Failure Information can also comprise the execution condition per each of those cells, so that MCG can </w:t>
      </w:r>
      <w:r>
        <w:t>become aware</w:t>
      </w:r>
      <w:r w:rsidRPr="003056E7">
        <w:t xml:space="preserve"> which cell could be the most suitable candidate for subsequent reconfiguration.</w:t>
      </w:r>
    </w:p>
    <w:p w14:paraId="60EF626A" w14:textId="44DB4177" w:rsidR="00941CCC" w:rsidRPr="002E50B6" w:rsidRDefault="00941CCC" w:rsidP="00941CCC">
      <w:r w:rsidRPr="003056E7">
        <w:rPr>
          <w:b/>
          <w:bCs/>
        </w:rPr>
        <w:lastRenderedPageBreak/>
        <w:t xml:space="preserve">Proposal </w:t>
      </w:r>
      <w:r w:rsidR="00FC52B2">
        <w:rPr>
          <w:b/>
          <w:bCs/>
        </w:rPr>
        <w:t>8</w:t>
      </w:r>
      <w:r w:rsidRPr="002E50B6">
        <w:t>: SCG Failure Information for CPC should comprise the indication</w:t>
      </w:r>
      <w:r>
        <w:t xml:space="preserve"> that</w:t>
      </w:r>
      <w:r w:rsidRPr="002E50B6">
        <w:t xml:space="preserve"> CPC was prepared or executed. In addition, it can contain the execution conditions per each CPC candidate and associated measurements.</w:t>
      </w:r>
    </w:p>
    <w:p w14:paraId="5A9F5931" w14:textId="17081F5E" w:rsidR="00941CCC" w:rsidRPr="003056E7" w:rsidRDefault="00941CCC" w:rsidP="00941CCC">
      <w:r w:rsidRPr="003056E7">
        <w:t xml:space="preserve">In Annex B of our Rel-16 paper </w:t>
      </w:r>
      <w:r w:rsidR="009C2662">
        <w:fldChar w:fldCharType="begin"/>
      </w:r>
      <w:r w:rsidR="009C2662">
        <w:instrText xml:space="preserve"> REF _Ref60738573 \r \h </w:instrText>
      </w:r>
      <w:r w:rsidR="009C2662">
        <w:fldChar w:fldCharType="separate"/>
      </w:r>
      <w:r w:rsidR="009C2662">
        <w:t>[4]</w:t>
      </w:r>
      <w:r w:rsidR="009C2662">
        <w:fldChar w:fldCharType="end"/>
      </w:r>
      <w:r w:rsidRPr="003056E7">
        <w:t xml:space="preserve"> we have </w:t>
      </w:r>
      <w:r>
        <w:t xml:space="preserve">even </w:t>
      </w:r>
      <w:r w:rsidRPr="003056E7">
        <w:t>shown how such changes can be introduced into the SCG Failure Information</w:t>
      </w:r>
      <w:r>
        <w:t xml:space="preserve"> ASN.1 structure</w:t>
      </w:r>
      <w:r w:rsidRPr="003056E7">
        <w:t>.</w:t>
      </w:r>
    </w:p>
    <w:p w14:paraId="4D556450" w14:textId="4EA03F64" w:rsidR="003F08B0" w:rsidRDefault="00941CCC" w:rsidP="003F08B0">
      <w:r w:rsidRPr="003056E7">
        <w:rPr>
          <w:b/>
          <w:bCs/>
        </w:rPr>
        <w:t xml:space="preserve">Proposal </w:t>
      </w:r>
      <w:r w:rsidR="00FC52B2">
        <w:rPr>
          <w:b/>
          <w:bCs/>
        </w:rPr>
        <w:t>9</w:t>
      </w:r>
      <w:r w:rsidRPr="003056E7">
        <w:rPr>
          <w:b/>
          <w:bCs/>
        </w:rPr>
        <w:t xml:space="preserve">: </w:t>
      </w:r>
      <w:r w:rsidRPr="002E50B6">
        <w:t xml:space="preserve">If Proposal </w:t>
      </w:r>
      <w:r w:rsidR="00B430D9">
        <w:t>8</w:t>
      </w:r>
      <w:r w:rsidRPr="002E50B6">
        <w:t xml:space="preserve"> is acceptable, RAN2 is asked to </w:t>
      </w:r>
      <w:r>
        <w:t>consider</w:t>
      </w:r>
      <w:r w:rsidRPr="002E50B6">
        <w:t xml:space="preserve"> the RRC changes suggested in Annex B of </w:t>
      </w:r>
      <w:r>
        <w:fldChar w:fldCharType="begin"/>
      </w:r>
      <w:r>
        <w:instrText xml:space="preserve"> REF _Ref60738573 \r \h </w:instrText>
      </w:r>
      <w:r>
        <w:fldChar w:fldCharType="separate"/>
      </w:r>
      <w:r w:rsidR="007E471B">
        <w:t>[4]</w:t>
      </w:r>
      <w:r>
        <w:fldChar w:fldCharType="end"/>
      </w:r>
      <w:r>
        <w:t xml:space="preserve"> for the corresponding Stage-3 work</w:t>
      </w:r>
      <w:r w:rsidRPr="002E50B6">
        <w:t>.</w:t>
      </w:r>
    </w:p>
    <w:p w14:paraId="205BA32B" w14:textId="40BF8795" w:rsidR="003F08B0" w:rsidRPr="006E13D1" w:rsidRDefault="003F08B0" w:rsidP="003F08B0">
      <w:pPr>
        <w:pStyle w:val="Heading2"/>
      </w:pPr>
      <w:r>
        <w:t>2</w:t>
      </w:r>
      <w:r w:rsidRPr="006E13D1">
        <w:t>.</w:t>
      </w:r>
      <w:r>
        <w:t>5</w:t>
      </w:r>
      <w:r w:rsidRPr="006E13D1">
        <w:tab/>
      </w:r>
      <w:r>
        <w:t>Co-existence of CHO and CPC</w:t>
      </w:r>
    </w:p>
    <w:p w14:paraId="6C8B73FE" w14:textId="02D3BA46" w:rsidR="00FC52B2" w:rsidRDefault="00586920" w:rsidP="003F08B0">
      <w:r>
        <w:rPr>
          <w:noProof/>
        </w:rPr>
        <mc:AlternateContent>
          <mc:Choice Requires="wps">
            <w:drawing>
              <wp:anchor distT="45720" distB="45720" distL="114300" distR="114300" simplePos="0" relativeHeight="251658241" behindDoc="0" locked="0" layoutInCell="1" allowOverlap="1" wp14:anchorId="79EE2D1D" wp14:editId="3ADBC816">
                <wp:simplePos x="0" y="0"/>
                <wp:positionH relativeFrom="margin">
                  <wp:posOffset>3923</wp:posOffset>
                </wp:positionH>
                <wp:positionV relativeFrom="paragraph">
                  <wp:posOffset>409873</wp:posOffset>
                </wp:positionV>
                <wp:extent cx="6510020" cy="1404620"/>
                <wp:effectExtent l="0" t="0" r="24130" b="11430"/>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10020" cy="1404620"/>
                        </a:xfrm>
                        <a:prstGeom prst="rect">
                          <a:avLst/>
                        </a:prstGeom>
                        <a:solidFill>
                          <a:srgbClr val="FFFFFF"/>
                        </a:solidFill>
                        <a:ln w="9525">
                          <a:solidFill>
                            <a:srgbClr val="000000"/>
                          </a:solidFill>
                          <a:miter lim="800000"/>
                          <a:headEnd/>
                          <a:tailEnd/>
                        </a:ln>
                      </wps:spPr>
                      <wps:txbx>
                        <w:txbxContent>
                          <w:p w14:paraId="4DDA8C6B" w14:textId="77777777" w:rsidR="00586920" w:rsidRPr="004F3A0C" w:rsidRDefault="00586920" w:rsidP="00586920">
                            <w:pPr>
                              <w:ind w:left="1008" w:hanging="1008"/>
                              <w:rPr>
                                <w:color w:val="002060"/>
                                <w:lang w:eastAsia="zh-CN"/>
                              </w:rPr>
                            </w:pPr>
                            <w:r w:rsidRPr="004F3A0C">
                              <w:rPr>
                                <w:rFonts w:hint="eastAsia"/>
                                <w:b/>
                                <w:color w:val="002060"/>
                                <w:lang w:eastAsia="zh-CN"/>
                              </w:rPr>
                              <w:t xml:space="preserve">Proposal </w:t>
                            </w:r>
                            <w:r>
                              <w:rPr>
                                <w:rFonts w:hint="eastAsia"/>
                                <w:b/>
                                <w:color w:val="002060"/>
                                <w:lang w:eastAsia="zh-CN"/>
                              </w:rPr>
                              <w:t>9</w:t>
                            </w:r>
                            <w:r w:rsidRPr="004F3A0C">
                              <w:rPr>
                                <w:rFonts w:hint="eastAsia"/>
                                <w:b/>
                                <w:color w:val="002060"/>
                                <w:lang w:eastAsia="zh-CN"/>
                              </w:rPr>
                              <w:t xml:space="preserve"> </w:t>
                            </w:r>
                            <w:r w:rsidRPr="004F3A0C">
                              <w:rPr>
                                <w:rFonts w:hint="eastAsia"/>
                                <w:b/>
                                <w:color w:val="002060"/>
                                <w:lang w:eastAsia="zh-CN"/>
                              </w:rPr>
                              <w:tab/>
                              <w:t>B</w:t>
                            </w:r>
                            <w:r w:rsidRPr="004F3A0C">
                              <w:rPr>
                                <w:b/>
                                <w:color w:val="002060"/>
                                <w:lang w:eastAsia="zh-CN"/>
                              </w:rPr>
                              <w:t>a</w:t>
                            </w:r>
                            <w:r w:rsidRPr="004F3A0C">
                              <w:rPr>
                                <w:rFonts w:hint="eastAsia"/>
                                <w:b/>
                                <w:color w:val="002060"/>
                                <w:lang w:eastAsia="zh-CN"/>
                              </w:rPr>
                              <w:t>seline is that CHO and CPAC can be supported s</w:t>
                            </w:r>
                            <w:r w:rsidRPr="004F3A0C">
                              <w:rPr>
                                <w:b/>
                                <w:color w:val="002060"/>
                                <w:lang w:eastAsia="zh-CN"/>
                              </w:rPr>
                              <w:t>imultaneou</w:t>
                            </w:r>
                            <w:r w:rsidRPr="004F3A0C">
                              <w:rPr>
                                <w:rFonts w:hint="eastAsia"/>
                                <w:b/>
                                <w:color w:val="002060"/>
                                <w:lang w:eastAsia="zh-CN"/>
                              </w:rPr>
                              <w:t xml:space="preserve">sly. </w:t>
                            </w:r>
                            <w:r w:rsidRPr="004F3A0C">
                              <w:rPr>
                                <w:b/>
                                <w:color w:val="002060"/>
                                <w:lang w:eastAsia="zh-CN"/>
                              </w:rPr>
                              <w:t>Details</w:t>
                            </w:r>
                            <w:r w:rsidRPr="004F3A0C">
                              <w:rPr>
                                <w:rFonts w:hint="eastAsia"/>
                                <w:b/>
                                <w:color w:val="002060"/>
                                <w:lang w:eastAsia="zh-CN"/>
                              </w:rPr>
                              <w:t xml:space="preserve"> </w:t>
                            </w:r>
                            <w:r>
                              <w:rPr>
                                <w:rFonts w:hint="eastAsia"/>
                                <w:b/>
                                <w:color w:val="002060"/>
                                <w:lang w:eastAsia="zh-CN"/>
                              </w:rPr>
                              <w:t>can be</w:t>
                            </w:r>
                            <w:r w:rsidRPr="004F3A0C">
                              <w:rPr>
                                <w:rFonts w:hint="eastAsia"/>
                                <w:b/>
                                <w:color w:val="002060"/>
                                <w:lang w:eastAsia="zh-CN"/>
                              </w:rPr>
                              <w:t xml:space="preserve"> discussed in </w:t>
                            </w:r>
                            <w:r>
                              <w:rPr>
                                <w:rFonts w:hint="eastAsia"/>
                                <w:b/>
                                <w:color w:val="002060"/>
                                <w:lang w:eastAsia="zh-CN"/>
                              </w:rPr>
                              <w:t xml:space="preserve">a </w:t>
                            </w:r>
                            <w:r w:rsidRPr="004F3A0C">
                              <w:rPr>
                                <w:rFonts w:hint="eastAsia"/>
                                <w:b/>
                                <w:color w:val="002060"/>
                                <w:lang w:eastAsia="zh-CN"/>
                              </w:rPr>
                              <w:t>later stage when time allows.</w:t>
                            </w:r>
                          </w:p>
                          <w:p w14:paraId="5449C142" w14:textId="77777777" w:rsidR="00586920" w:rsidRDefault="00586920" w:rsidP="00586920">
                            <w:pPr>
                              <w:ind w:left="1008" w:hanging="1008"/>
                              <w:rPr>
                                <w:b/>
                                <w:color w:val="002060"/>
                                <w:lang w:eastAsia="zh-CN"/>
                              </w:rPr>
                            </w:pPr>
                            <w:r w:rsidRPr="00CF7018">
                              <w:rPr>
                                <w:rFonts w:hint="eastAsia"/>
                                <w:b/>
                                <w:color w:val="002060"/>
                                <w:lang w:eastAsia="zh-CN"/>
                              </w:rPr>
                              <w:t xml:space="preserve">Proposal </w:t>
                            </w:r>
                            <w:r>
                              <w:rPr>
                                <w:rFonts w:hint="eastAsia"/>
                                <w:b/>
                                <w:color w:val="002060"/>
                                <w:lang w:eastAsia="zh-CN"/>
                              </w:rPr>
                              <w:t>10</w:t>
                            </w:r>
                            <w:r w:rsidRPr="00CF7018">
                              <w:rPr>
                                <w:rFonts w:hint="eastAsia"/>
                                <w:b/>
                                <w:color w:val="002060"/>
                                <w:lang w:eastAsia="zh-CN"/>
                              </w:rPr>
                              <w:t xml:space="preserve"> </w:t>
                            </w:r>
                            <w:r w:rsidRPr="00CF7018">
                              <w:rPr>
                                <w:rFonts w:hint="eastAsia"/>
                                <w:b/>
                                <w:color w:val="002060"/>
                                <w:lang w:eastAsia="zh-CN"/>
                              </w:rPr>
                              <w:tab/>
                            </w:r>
                            <w:r>
                              <w:rPr>
                                <w:rFonts w:hint="eastAsia"/>
                                <w:b/>
                                <w:color w:val="002060"/>
                                <w:lang w:eastAsia="zh-CN"/>
                              </w:rPr>
                              <w:t xml:space="preserve">The following scenarios can be considered for </w:t>
                            </w:r>
                            <w:r>
                              <w:rPr>
                                <w:b/>
                                <w:color w:val="002060"/>
                                <w:lang w:eastAsia="zh-CN"/>
                              </w:rPr>
                              <w:t>simultaneous</w:t>
                            </w:r>
                            <w:r>
                              <w:rPr>
                                <w:rFonts w:hint="eastAsia"/>
                                <w:b/>
                                <w:color w:val="002060"/>
                                <w:lang w:eastAsia="zh-CN"/>
                              </w:rPr>
                              <w:t xml:space="preserve"> CHO and CAPC, and the 1</w:t>
                            </w:r>
                            <w:r w:rsidRPr="00645002">
                              <w:rPr>
                                <w:rFonts w:hint="eastAsia"/>
                                <w:b/>
                                <w:color w:val="002060"/>
                                <w:vertAlign w:val="superscript"/>
                                <w:lang w:eastAsia="zh-CN"/>
                              </w:rPr>
                              <w:t>st</w:t>
                            </w:r>
                            <w:r>
                              <w:rPr>
                                <w:rFonts w:hint="eastAsia"/>
                                <w:b/>
                                <w:color w:val="002060"/>
                                <w:lang w:eastAsia="zh-CN"/>
                              </w:rPr>
                              <w:t xml:space="preserve"> </w:t>
                            </w:r>
                            <w:r>
                              <w:rPr>
                                <w:b/>
                                <w:color w:val="002060"/>
                                <w:lang w:eastAsia="zh-CN"/>
                              </w:rPr>
                              <w:t>scenario</w:t>
                            </w:r>
                            <w:r>
                              <w:rPr>
                                <w:rFonts w:hint="eastAsia"/>
                                <w:b/>
                                <w:color w:val="002060"/>
                                <w:lang w:eastAsia="zh-CN"/>
                              </w:rPr>
                              <w:t xml:space="preserve"> is with higher priority</w:t>
                            </w:r>
                          </w:p>
                          <w:p w14:paraId="2C87D965" w14:textId="77777777" w:rsidR="00586920" w:rsidRPr="00645002" w:rsidRDefault="00586920" w:rsidP="00586920">
                            <w:pPr>
                              <w:pStyle w:val="ListParagraph"/>
                              <w:numPr>
                                <w:ilvl w:val="0"/>
                                <w:numId w:val="9"/>
                              </w:numPr>
                              <w:rPr>
                                <w:color w:val="002060"/>
                              </w:rPr>
                            </w:pPr>
                            <w:r w:rsidRPr="00645002">
                              <w:rPr>
                                <w:color w:val="002060"/>
                              </w:rPr>
                              <w:t>Scenario 1: the CHO and CPAC configuration are independent and the UE monitors the triggering conditions for the CHO and CPAC independently.</w:t>
                            </w:r>
                          </w:p>
                          <w:p w14:paraId="01D1667E" w14:textId="58162468" w:rsidR="00586920" w:rsidRPr="00586920" w:rsidRDefault="00586920" w:rsidP="00586920">
                            <w:pPr>
                              <w:pStyle w:val="ListParagraph"/>
                              <w:numPr>
                                <w:ilvl w:val="0"/>
                                <w:numId w:val="9"/>
                              </w:numPr>
                              <w:rPr>
                                <w:color w:val="002060"/>
                              </w:rPr>
                            </w:pPr>
                            <w:r w:rsidRPr="00645002">
                              <w:rPr>
                                <w:color w:val="002060"/>
                              </w:rPr>
                              <w:t>Scenario 2: A CHO configuration that contains an associated CPAC configuration.</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79EE2D1D" id="_x0000_s1027" type="#_x0000_t202" style="position:absolute;margin-left:.3pt;margin-top:32.25pt;width:512.6pt;height:110.6pt;z-index:251658241;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">
                <v:textbox style="mso-fit-shape-to-text:t">
                  <w:txbxContent>
                    <w:p w14:paraId="4DDA8C6B" w14:textId="77777777" w:rsidR="00586920" w:rsidRPr="004F3A0C" w:rsidRDefault="00586920" w:rsidP="00586920">
                      <w:pPr>
                        <w:ind w:left="1008" w:hanging="1008"/>
                        <w:rPr>
                          <w:color w:val="002060"/>
                          <w:lang w:eastAsia="zh-CN"/>
                        </w:rPr>
                      </w:pPr>
                      <w:r w:rsidRPr="004F3A0C">
                        <w:rPr>
                          <w:rFonts w:hint="eastAsia"/>
                          <w:b/>
                          <w:color w:val="002060"/>
                          <w:lang w:eastAsia="zh-CN"/>
                        </w:rPr>
                        <w:t xml:space="preserve">Proposal </w:t>
                      </w:r>
                      <w:r>
                        <w:rPr>
                          <w:rFonts w:hint="eastAsia"/>
                          <w:b/>
                          <w:color w:val="002060"/>
                          <w:lang w:eastAsia="zh-CN"/>
                        </w:rPr>
                        <w:t>9</w:t>
                      </w:r>
                      <w:r w:rsidRPr="004F3A0C">
                        <w:rPr>
                          <w:rFonts w:hint="eastAsia"/>
                          <w:b/>
                          <w:color w:val="002060"/>
                          <w:lang w:eastAsia="zh-CN"/>
                        </w:rPr>
                        <w:t xml:space="preserve"> </w:t>
                      </w:r>
                      <w:r w:rsidRPr="004F3A0C">
                        <w:rPr>
                          <w:rFonts w:hint="eastAsia"/>
                          <w:b/>
                          <w:color w:val="002060"/>
                          <w:lang w:eastAsia="zh-CN"/>
                        </w:rPr>
                        <w:tab/>
                        <w:t>B</w:t>
                      </w:r>
                      <w:r w:rsidRPr="004F3A0C">
                        <w:rPr>
                          <w:b/>
                          <w:color w:val="002060"/>
                          <w:lang w:eastAsia="zh-CN"/>
                        </w:rPr>
                        <w:t>a</w:t>
                      </w:r>
                      <w:r w:rsidRPr="004F3A0C">
                        <w:rPr>
                          <w:rFonts w:hint="eastAsia"/>
                          <w:b/>
                          <w:color w:val="002060"/>
                          <w:lang w:eastAsia="zh-CN"/>
                        </w:rPr>
                        <w:t>seline is that CHO and CPAC can be supported s</w:t>
                      </w:r>
                      <w:r w:rsidRPr="004F3A0C">
                        <w:rPr>
                          <w:b/>
                          <w:color w:val="002060"/>
                          <w:lang w:eastAsia="zh-CN"/>
                        </w:rPr>
                        <w:t>imultaneou</w:t>
                      </w:r>
                      <w:r w:rsidRPr="004F3A0C">
                        <w:rPr>
                          <w:rFonts w:hint="eastAsia"/>
                          <w:b/>
                          <w:color w:val="002060"/>
                          <w:lang w:eastAsia="zh-CN"/>
                        </w:rPr>
                        <w:t xml:space="preserve">sly. </w:t>
                      </w:r>
                      <w:r w:rsidRPr="004F3A0C">
                        <w:rPr>
                          <w:b/>
                          <w:color w:val="002060"/>
                          <w:lang w:eastAsia="zh-CN"/>
                        </w:rPr>
                        <w:t>Details</w:t>
                      </w:r>
                      <w:r w:rsidRPr="004F3A0C">
                        <w:rPr>
                          <w:rFonts w:hint="eastAsia"/>
                          <w:b/>
                          <w:color w:val="002060"/>
                          <w:lang w:eastAsia="zh-CN"/>
                        </w:rPr>
                        <w:t xml:space="preserve"> </w:t>
                      </w:r>
                      <w:r>
                        <w:rPr>
                          <w:rFonts w:hint="eastAsia"/>
                          <w:b/>
                          <w:color w:val="002060"/>
                          <w:lang w:eastAsia="zh-CN"/>
                        </w:rPr>
                        <w:t>can be</w:t>
                      </w:r>
                      <w:r w:rsidRPr="004F3A0C">
                        <w:rPr>
                          <w:rFonts w:hint="eastAsia"/>
                          <w:b/>
                          <w:color w:val="002060"/>
                          <w:lang w:eastAsia="zh-CN"/>
                        </w:rPr>
                        <w:t xml:space="preserve"> discussed in </w:t>
                      </w:r>
                      <w:r>
                        <w:rPr>
                          <w:rFonts w:hint="eastAsia"/>
                          <w:b/>
                          <w:color w:val="002060"/>
                          <w:lang w:eastAsia="zh-CN"/>
                        </w:rPr>
                        <w:t xml:space="preserve">a </w:t>
                      </w:r>
                      <w:r w:rsidRPr="004F3A0C">
                        <w:rPr>
                          <w:rFonts w:hint="eastAsia"/>
                          <w:b/>
                          <w:color w:val="002060"/>
                          <w:lang w:eastAsia="zh-CN"/>
                        </w:rPr>
                        <w:t>later stage when time allows.</w:t>
                      </w:r>
                    </w:p>
                    <w:p w14:paraId="5449C142" w14:textId="77777777" w:rsidR="00586920" w:rsidRDefault="00586920" w:rsidP="00586920">
                      <w:pPr>
                        <w:ind w:left="1008" w:hanging="1008"/>
                        <w:rPr>
                          <w:b/>
                          <w:color w:val="002060"/>
                          <w:lang w:eastAsia="zh-CN"/>
                        </w:rPr>
                      </w:pPr>
                      <w:r w:rsidRPr="00CF7018">
                        <w:rPr>
                          <w:rFonts w:hint="eastAsia"/>
                          <w:b/>
                          <w:color w:val="002060"/>
                          <w:lang w:eastAsia="zh-CN"/>
                        </w:rPr>
                        <w:t xml:space="preserve">Proposal </w:t>
                      </w:r>
                      <w:r>
                        <w:rPr>
                          <w:rFonts w:hint="eastAsia"/>
                          <w:b/>
                          <w:color w:val="002060"/>
                          <w:lang w:eastAsia="zh-CN"/>
                        </w:rPr>
                        <w:t>10</w:t>
                      </w:r>
                      <w:r w:rsidRPr="00CF7018">
                        <w:rPr>
                          <w:rFonts w:hint="eastAsia"/>
                          <w:b/>
                          <w:color w:val="002060"/>
                          <w:lang w:eastAsia="zh-CN"/>
                        </w:rPr>
                        <w:t xml:space="preserve"> </w:t>
                      </w:r>
                      <w:r w:rsidRPr="00CF7018">
                        <w:rPr>
                          <w:rFonts w:hint="eastAsia"/>
                          <w:b/>
                          <w:color w:val="002060"/>
                          <w:lang w:eastAsia="zh-CN"/>
                        </w:rPr>
                        <w:tab/>
                      </w:r>
                      <w:r>
                        <w:rPr>
                          <w:rFonts w:hint="eastAsia"/>
                          <w:b/>
                          <w:color w:val="002060"/>
                          <w:lang w:eastAsia="zh-CN"/>
                        </w:rPr>
                        <w:t xml:space="preserve">The following scenarios can be considered for </w:t>
                      </w:r>
                      <w:r>
                        <w:rPr>
                          <w:b/>
                          <w:color w:val="002060"/>
                          <w:lang w:eastAsia="zh-CN"/>
                        </w:rPr>
                        <w:t>simultaneous</w:t>
                      </w:r>
                      <w:r>
                        <w:rPr>
                          <w:rFonts w:hint="eastAsia"/>
                          <w:b/>
                          <w:color w:val="002060"/>
                          <w:lang w:eastAsia="zh-CN"/>
                        </w:rPr>
                        <w:t xml:space="preserve"> CHO and CAPC, and the 1</w:t>
                      </w:r>
                      <w:r w:rsidRPr="00645002">
                        <w:rPr>
                          <w:rFonts w:hint="eastAsia"/>
                          <w:b/>
                          <w:color w:val="002060"/>
                          <w:vertAlign w:val="superscript"/>
                          <w:lang w:eastAsia="zh-CN"/>
                        </w:rPr>
                        <w:t>st</w:t>
                      </w:r>
                      <w:r>
                        <w:rPr>
                          <w:rFonts w:hint="eastAsia"/>
                          <w:b/>
                          <w:color w:val="002060"/>
                          <w:lang w:eastAsia="zh-CN"/>
                        </w:rPr>
                        <w:t xml:space="preserve"> </w:t>
                      </w:r>
                      <w:r>
                        <w:rPr>
                          <w:b/>
                          <w:color w:val="002060"/>
                          <w:lang w:eastAsia="zh-CN"/>
                        </w:rPr>
                        <w:t>scenario</w:t>
                      </w:r>
                      <w:r>
                        <w:rPr>
                          <w:rFonts w:hint="eastAsia"/>
                          <w:b/>
                          <w:color w:val="002060"/>
                          <w:lang w:eastAsia="zh-CN"/>
                        </w:rPr>
                        <w:t xml:space="preserve"> is with higher priority</w:t>
                      </w:r>
                    </w:p>
                    <w:p w14:paraId="2C87D965" w14:textId="77777777" w:rsidR="00586920" w:rsidRPr="00645002" w:rsidRDefault="00586920" w:rsidP="00586920">
                      <w:pPr>
                        <w:pStyle w:val="ListParagraph"/>
                        <w:numPr>
                          <w:ilvl w:val="0"/>
                          <w:numId w:val="9"/>
                        </w:numPr>
                        <w:rPr>
                          <w:color w:val="002060"/>
                        </w:rPr>
                      </w:pPr>
                      <w:r w:rsidRPr="00645002">
                        <w:rPr>
                          <w:color w:val="002060"/>
                        </w:rPr>
                        <w:t>Scenario 1: the CHO and CPAC configuration are independent and the UE monitors the triggering conditions for the CHO and CPAC independently.</w:t>
                      </w:r>
                    </w:p>
                    <w:p w14:paraId="01D1667E" w14:textId="58162468" w:rsidR="00586920" w:rsidRPr="00586920" w:rsidRDefault="00586920" w:rsidP="00586920">
                      <w:pPr>
                        <w:pStyle w:val="ListParagraph"/>
                        <w:numPr>
                          <w:ilvl w:val="0"/>
                          <w:numId w:val="9"/>
                        </w:numPr>
                        <w:rPr>
                          <w:color w:val="002060"/>
                        </w:rPr>
                      </w:pPr>
                      <w:r w:rsidRPr="00645002">
                        <w:rPr>
                          <w:color w:val="002060"/>
                        </w:rPr>
                        <w:t>Scenario 2: A CHO configuration that contains an associated CPAC configuration.</w:t>
                      </w:r>
                    </w:p>
                  </w:txbxContent>
                </v:textbox>
                <w10:wrap type="square" anchorx="margin"/>
              </v:shape>
            </w:pict>
          </mc:Fallback>
        </mc:AlternateContent>
      </w:r>
      <w:r>
        <w:t xml:space="preserve">The summary of the email discussion </w:t>
      </w:r>
      <w:r>
        <w:fldChar w:fldCharType="begin"/>
      </w:r>
      <w:r>
        <w:instrText xml:space="preserve"> REF _Ref70583070 \r \h </w:instrText>
      </w:r>
      <w:r>
        <w:fldChar w:fldCharType="separate"/>
      </w:r>
      <w:r>
        <w:t>[5]</w:t>
      </w:r>
      <w:r>
        <w:fldChar w:fldCharType="end"/>
      </w:r>
      <w:r>
        <w:t xml:space="preserve"> proposes to discuss the inter-working of CHO and CPC in later stage when time allows </w:t>
      </w:r>
      <w:r w:rsidR="00FC52B2">
        <w:t>and identified two relevant scenarios 1 and 2.</w:t>
      </w:r>
    </w:p>
    <w:p w14:paraId="52FE2D41" w14:textId="75254485" w:rsidR="00586920" w:rsidRDefault="00FC52B2" w:rsidP="003F08B0">
      <w:r>
        <w:t>As the support of Scenario 2 may require much more time than Scenario</w:t>
      </w:r>
      <w:r w:rsidR="00E8332C">
        <w:t xml:space="preserve"> 1</w:t>
      </w:r>
      <w:r>
        <w:t xml:space="preserve">, we propose to prioritize Scenario 1 in Rel. 17 and to support Scenario 2 in Rel. </w:t>
      </w:r>
      <w:proofErr w:type="gramStart"/>
      <w:r>
        <w:t>18</w:t>
      </w:r>
      <w:r w:rsidR="00B1360F">
        <w:t>, if</w:t>
      </w:r>
      <w:proofErr w:type="gramEnd"/>
      <w:r w:rsidR="00B1360F">
        <w:t xml:space="preserve"> </w:t>
      </w:r>
      <w:r w:rsidR="0013095C">
        <w:t>further developments on this topic are pursued in the next 3GPP Release</w:t>
      </w:r>
      <w:r>
        <w:t>.</w:t>
      </w:r>
    </w:p>
    <w:p w14:paraId="682BEBAE" w14:textId="21AFF3A4" w:rsidR="003F08B0" w:rsidRDefault="00FC52B2" w:rsidP="003F08B0">
      <w:r w:rsidRPr="00FC52B2">
        <w:rPr>
          <w:b/>
          <w:bCs/>
        </w:rPr>
        <w:t>Proposal 10</w:t>
      </w:r>
      <w:r>
        <w:t xml:space="preserve">: RAN2 to prioritize Scenario 1 if time allows in Rel. 17 and to support Scenario 2 </w:t>
      </w:r>
      <w:r w:rsidR="00CA40CE">
        <w:t xml:space="preserve">in the next 3GPP </w:t>
      </w:r>
      <w:proofErr w:type="gramStart"/>
      <w:r w:rsidR="00CA40CE">
        <w:t>Release</w:t>
      </w:r>
      <w:r w:rsidR="0068000E">
        <w:t>, if</w:t>
      </w:r>
      <w:proofErr w:type="gramEnd"/>
      <w:r w:rsidR="0068000E">
        <w:t xml:space="preserve"> th</w:t>
      </w:r>
      <w:r w:rsidR="00B430D9">
        <w:t>e</w:t>
      </w:r>
      <w:r w:rsidR="0068000E">
        <w:t xml:space="preserve"> work continues</w:t>
      </w:r>
      <w:r>
        <w:t>.</w:t>
      </w:r>
    </w:p>
    <w:p w14:paraId="5FF2457F" w14:textId="49CB7A85" w:rsidR="00A209D6" w:rsidRPr="006E13D1" w:rsidRDefault="003F08B0" w:rsidP="00A209D6">
      <w:pPr>
        <w:pStyle w:val="Heading1"/>
      </w:pPr>
      <w:r>
        <w:t>3</w:t>
      </w:r>
      <w:r w:rsidR="00A209D6" w:rsidRPr="006E13D1">
        <w:tab/>
      </w:r>
      <w:r w:rsidR="008C3057">
        <w:t>Conclusion</w:t>
      </w:r>
    </w:p>
    <w:p w14:paraId="1CB01827" w14:textId="6DE2E504" w:rsidR="00E15427" w:rsidRPr="006E13D1" w:rsidRDefault="00941CCC" w:rsidP="00A209D6">
      <w:r>
        <w:t xml:space="preserve">The observations and proposals made in this document are summarized </w:t>
      </w:r>
      <w:r w:rsidR="00E15F32">
        <w:t>below:</w:t>
      </w:r>
    </w:p>
    <w:p w14:paraId="288485D9" w14:textId="77777777" w:rsidR="00B25793" w:rsidRDefault="00B25793" w:rsidP="00B25793">
      <w:r w:rsidRPr="005B2DA6">
        <w:rPr>
          <w:b/>
          <w:bCs/>
        </w:rPr>
        <w:t>Proposal 1</w:t>
      </w:r>
      <w:r>
        <w:t xml:space="preserve">: UE releases the CPAC configurations when the random access to the target </w:t>
      </w:r>
      <w:proofErr w:type="spellStart"/>
      <w:r>
        <w:t>PSCell</w:t>
      </w:r>
      <w:proofErr w:type="spellEnd"/>
      <w:r>
        <w:t xml:space="preserve"> is successfully completed.</w:t>
      </w:r>
    </w:p>
    <w:p w14:paraId="128F07D0" w14:textId="77777777" w:rsidR="00B25793" w:rsidRDefault="00B25793" w:rsidP="00B25793">
      <w:r w:rsidRPr="00A87E86">
        <w:rPr>
          <w:b/>
          <w:bCs/>
        </w:rPr>
        <w:t xml:space="preserve">Observation </w:t>
      </w:r>
      <w:r>
        <w:rPr>
          <w:b/>
          <w:bCs/>
        </w:rPr>
        <w:t>1</w:t>
      </w:r>
      <w:r>
        <w:t xml:space="preserve">: There is no necessity to define early and late data forwarding for CPAC procedure as on-time data forwarding is possible. </w:t>
      </w:r>
    </w:p>
    <w:p w14:paraId="62B1FABB" w14:textId="77777777" w:rsidR="00B25793" w:rsidRDefault="00B25793" w:rsidP="00B25793">
      <w:r w:rsidRPr="5726A052">
        <w:rPr>
          <w:b/>
          <w:bCs/>
        </w:rPr>
        <w:t xml:space="preserve">Proposal </w:t>
      </w:r>
      <w:r>
        <w:rPr>
          <w:b/>
          <w:bCs/>
        </w:rPr>
        <w:t>2</w:t>
      </w:r>
      <w:r w:rsidRPr="5726A052">
        <w:rPr>
          <w:b/>
          <w:bCs/>
        </w:rPr>
        <w:t xml:space="preserve">: </w:t>
      </w:r>
      <w:r>
        <w:t xml:space="preserve">UE indicates to MN the target </w:t>
      </w:r>
      <w:proofErr w:type="spellStart"/>
      <w:r>
        <w:t>PSCell</w:t>
      </w:r>
      <w:proofErr w:type="spellEnd"/>
      <w:r>
        <w:t xml:space="preserve"> when the CPAC execution condition is met. Stage 3 details of this indication are to be discussed in RAN2, e.g., indication as a part of RRC Reconfiguration Complete sent by the UE to MN when CPAC condition is met, UL Information Transfer MRDC or separate message. </w:t>
      </w:r>
    </w:p>
    <w:p w14:paraId="441E2090" w14:textId="77777777" w:rsidR="00B25793" w:rsidRPr="00B93D54" w:rsidRDefault="00B25793" w:rsidP="00B25793">
      <w:pPr>
        <w:rPr>
          <w:b/>
          <w:bCs/>
        </w:rPr>
      </w:pPr>
      <w:r w:rsidRPr="00B93D54">
        <w:rPr>
          <w:b/>
          <w:bCs/>
        </w:rPr>
        <w:t xml:space="preserve">Proposal </w:t>
      </w:r>
      <w:r>
        <w:rPr>
          <w:b/>
          <w:bCs/>
        </w:rPr>
        <w:t>3</w:t>
      </w:r>
      <w:r w:rsidRPr="00B93D54">
        <w:rPr>
          <w:b/>
          <w:bCs/>
        </w:rPr>
        <w:t xml:space="preserve">: </w:t>
      </w:r>
      <w:r w:rsidRPr="00B93D54">
        <w:t xml:space="preserve">RAN2 to inform RAN3 about the decision to support on-time data forwarding for CPAC procedures </w:t>
      </w:r>
      <w:r>
        <w:t>while concluding the</w:t>
      </w:r>
      <w:r w:rsidRPr="00B93D54">
        <w:t xml:space="preserve"> early </w:t>
      </w:r>
      <w:r>
        <w:t>or</w:t>
      </w:r>
      <w:r w:rsidRPr="00B93D54">
        <w:t xml:space="preserve"> late data forwarding mechanisms</w:t>
      </w:r>
      <w:r>
        <w:t xml:space="preserve"> are not necessary for CPAC</w:t>
      </w:r>
      <w:r w:rsidRPr="00B93D54">
        <w:t>.</w:t>
      </w:r>
      <w:r>
        <w:t xml:space="preserve"> </w:t>
      </w:r>
      <w:r w:rsidRPr="00C53EE5">
        <w:t>X2/</w:t>
      </w:r>
      <w:proofErr w:type="spellStart"/>
      <w:r w:rsidRPr="00C53EE5">
        <w:t>Xn</w:t>
      </w:r>
      <w:proofErr w:type="spellEnd"/>
      <w:r w:rsidRPr="00C53EE5">
        <w:t xml:space="preserve"> signalling to perform on-time data forwarding and release of other, non-accessed target </w:t>
      </w:r>
      <w:proofErr w:type="spellStart"/>
      <w:r w:rsidRPr="00C53EE5">
        <w:t>PSCells</w:t>
      </w:r>
      <w:proofErr w:type="spellEnd"/>
      <w:r>
        <w:t>,</w:t>
      </w:r>
      <w:r w:rsidRPr="00C53EE5">
        <w:t xml:space="preserve"> are</w:t>
      </w:r>
      <w:r>
        <w:t xml:space="preserve"> to be</w:t>
      </w:r>
      <w:r w:rsidRPr="00C53EE5">
        <w:t xml:space="preserve"> discussed in RAN3</w:t>
      </w:r>
      <w:r>
        <w:t>.</w:t>
      </w:r>
    </w:p>
    <w:p w14:paraId="60449C3F" w14:textId="15CBC80D" w:rsidR="00A209D6" w:rsidRPr="006E016B" w:rsidRDefault="00E232E6" w:rsidP="006E016B">
      <w:pPr>
        <w:pStyle w:val="paragraph"/>
        <w:spacing w:before="0" w:beforeAutospacing="0" w:after="0" w:afterAutospacing="0"/>
        <w:textAlignment w:val="baseline"/>
        <w:rPr>
          <w:lang w:val="en-US"/>
        </w:rPr>
      </w:pPr>
      <w:r>
        <w:rPr>
          <w:rStyle w:val="normaltextrun"/>
          <w:b/>
          <w:bCs/>
          <w:sz w:val="20"/>
          <w:szCs w:val="20"/>
          <w:lang w:val="en-GB"/>
        </w:rPr>
        <w:t xml:space="preserve">Observation 2: </w:t>
      </w:r>
      <w:r w:rsidRPr="007B229E">
        <w:rPr>
          <w:rStyle w:val="normaltextrun"/>
          <w:sz w:val="20"/>
          <w:szCs w:val="20"/>
          <w:lang w:val="en-GB"/>
        </w:rPr>
        <w:t>In MN-initiated inter-SN CPC, intra-RAT events A3 and A5 cannot be configured by MN when the source and target </w:t>
      </w:r>
      <w:proofErr w:type="spellStart"/>
      <w:r w:rsidRPr="007B229E">
        <w:rPr>
          <w:rStyle w:val="normaltextrun"/>
          <w:sz w:val="20"/>
          <w:szCs w:val="20"/>
          <w:lang w:val="en-GB"/>
        </w:rPr>
        <w:t>PSCells</w:t>
      </w:r>
      <w:proofErr w:type="spellEnd"/>
      <w:r w:rsidRPr="007B229E">
        <w:rPr>
          <w:rStyle w:val="normaltextrun"/>
          <w:sz w:val="20"/>
          <w:szCs w:val="20"/>
          <w:lang w:val="en-GB"/>
        </w:rPr>
        <w:t> belong to a different RAT than MN.</w:t>
      </w:r>
      <w:r w:rsidRPr="007B229E">
        <w:rPr>
          <w:rStyle w:val="eop"/>
          <w:sz w:val="20"/>
          <w:szCs w:val="20"/>
          <w:lang w:val="en-US"/>
        </w:rPr>
        <w:t> </w:t>
      </w:r>
      <w:r w:rsidR="00351D42">
        <w:rPr>
          <w:rStyle w:val="eop"/>
          <w:sz w:val="20"/>
          <w:szCs w:val="20"/>
          <w:lang w:val="en-US"/>
        </w:rPr>
        <w:br/>
      </w:r>
    </w:p>
    <w:p w14:paraId="67891648" w14:textId="77777777" w:rsidR="00351D42" w:rsidRDefault="00351D42" w:rsidP="00351D42">
      <w:pPr>
        <w:pStyle w:val="paragraph"/>
        <w:spacing w:before="0" w:beforeAutospacing="0" w:after="0" w:afterAutospacing="0"/>
        <w:textAlignment w:val="baseline"/>
        <w:rPr>
          <w:rStyle w:val="eop"/>
          <w:sz w:val="20"/>
          <w:szCs w:val="20"/>
          <w:lang w:val="en-US"/>
        </w:rPr>
      </w:pPr>
      <w:r>
        <w:rPr>
          <w:rStyle w:val="normaltextrun"/>
          <w:b/>
          <w:bCs/>
          <w:sz w:val="20"/>
          <w:szCs w:val="20"/>
          <w:lang w:val="en-GB"/>
        </w:rPr>
        <w:t xml:space="preserve">Observation 3: </w:t>
      </w:r>
      <w:r w:rsidRPr="007B229E">
        <w:rPr>
          <w:rStyle w:val="normaltextrun"/>
          <w:sz w:val="20"/>
          <w:szCs w:val="20"/>
          <w:lang w:val="en-GB"/>
        </w:rPr>
        <w:t>In MN-initiated inter-SN CPC, configuring the UE with event B1 is not sufficient as it does not consider the radio link strength/quality of the source </w:t>
      </w:r>
      <w:proofErr w:type="spellStart"/>
      <w:r w:rsidRPr="007B229E">
        <w:rPr>
          <w:rStyle w:val="normaltextrun"/>
          <w:sz w:val="20"/>
          <w:szCs w:val="20"/>
          <w:lang w:val="en-GB"/>
        </w:rPr>
        <w:t>PSCell</w:t>
      </w:r>
      <w:proofErr w:type="spellEnd"/>
      <w:r w:rsidRPr="007B229E">
        <w:rPr>
          <w:rStyle w:val="normaltextrun"/>
          <w:sz w:val="20"/>
          <w:szCs w:val="20"/>
          <w:lang w:val="en-GB"/>
        </w:rPr>
        <w:t> which might result in early CPC execution or S-RLF.</w:t>
      </w:r>
      <w:r w:rsidRPr="00941CCC">
        <w:rPr>
          <w:rStyle w:val="eop"/>
          <w:sz w:val="20"/>
          <w:szCs w:val="20"/>
          <w:lang w:val="en-US"/>
        </w:rPr>
        <w:t> </w:t>
      </w:r>
    </w:p>
    <w:p w14:paraId="1128C6DD" w14:textId="77777777" w:rsidR="00351D42" w:rsidRPr="00941CCC" w:rsidRDefault="00351D42" w:rsidP="00351D42">
      <w:pPr>
        <w:pStyle w:val="paragraph"/>
        <w:spacing w:before="0" w:beforeAutospacing="0" w:after="0" w:afterAutospacing="0"/>
        <w:textAlignment w:val="baseline"/>
        <w:rPr>
          <w:rFonts w:ascii="Segoe UI" w:hAnsi="Segoe UI" w:cs="Segoe UI"/>
          <w:sz w:val="18"/>
          <w:szCs w:val="18"/>
          <w:lang w:val="en-US"/>
        </w:rPr>
      </w:pPr>
    </w:p>
    <w:p w14:paraId="7C872450" w14:textId="3CCB83FB" w:rsidR="00351D42" w:rsidRPr="006E016B" w:rsidRDefault="00351D42" w:rsidP="006E016B">
      <w:pPr>
        <w:pStyle w:val="paragraph"/>
        <w:spacing w:before="0" w:beforeAutospacing="0" w:after="0" w:afterAutospacing="0"/>
        <w:jc w:val="both"/>
        <w:textAlignment w:val="baseline"/>
        <w:rPr>
          <w:rFonts w:ascii="Segoe UI" w:hAnsi="Segoe UI" w:cs="Segoe UI"/>
          <w:sz w:val="18"/>
          <w:szCs w:val="18"/>
          <w:lang w:val="en-US"/>
        </w:rPr>
      </w:pPr>
      <w:r>
        <w:rPr>
          <w:rStyle w:val="normaltextrun"/>
          <w:b/>
          <w:bCs/>
          <w:sz w:val="20"/>
          <w:szCs w:val="20"/>
          <w:lang w:val="en-GB"/>
        </w:rPr>
        <w:t xml:space="preserve">Proposal 3: </w:t>
      </w:r>
      <w:r w:rsidRPr="007B229E">
        <w:rPr>
          <w:rStyle w:val="normaltextrun"/>
          <w:sz w:val="20"/>
          <w:szCs w:val="20"/>
          <w:lang w:val="en-GB"/>
        </w:rPr>
        <w:t>RAN2 to discuss solutions for MN-initiated CPC where the radio link strength/quality of the serving </w:t>
      </w:r>
      <w:proofErr w:type="spellStart"/>
      <w:r w:rsidRPr="007B229E">
        <w:rPr>
          <w:rStyle w:val="normaltextrun"/>
          <w:sz w:val="20"/>
          <w:szCs w:val="20"/>
          <w:lang w:val="en-GB"/>
        </w:rPr>
        <w:t>PSCell</w:t>
      </w:r>
      <w:proofErr w:type="spellEnd"/>
      <w:r w:rsidRPr="007B229E">
        <w:rPr>
          <w:rStyle w:val="normaltextrun"/>
          <w:sz w:val="20"/>
          <w:szCs w:val="20"/>
          <w:lang w:val="en-GB"/>
        </w:rPr>
        <w:t> is considered by the UE when triggering an intra- or inter-frequency CPC</w:t>
      </w:r>
      <w:r>
        <w:rPr>
          <w:rStyle w:val="normaltextrun"/>
          <w:b/>
          <w:bCs/>
          <w:sz w:val="20"/>
          <w:szCs w:val="20"/>
          <w:lang w:val="en-GB"/>
        </w:rPr>
        <w:t>.</w:t>
      </w:r>
      <w:r w:rsidRPr="00941CCC">
        <w:rPr>
          <w:rStyle w:val="eop"/>
          <w:sz w:val="20"/>
          <w:szCs w:val="20"/>
          <w:lang w:val="en-US"/>
        </w:rPr>
        <w:t> </w:t>
      </w:r>
      <w:r w:rsidR="00E15F32">
        <w:rPr>
          <w:rStyle w:val="eop"/>
          <w:sz w:val="20"/>
          <w:szCs w:val="20"/>
          <w:lang w:val="en-US"/>
        </w:rPr>
        <w:br/>
      </w:r>
    </w:p>
    <w:p w14:paraId="326705D3" w14:textId="77777777" w:rsidR="00DB5716" w:rsidRDefault="00DB5716" w:rsidP="00DB5716">
      <w:r w:rsidRPr="005C48D0">
        <w:rPr>
          <w:b/>
          <w:bCs/>
        </w:rPr>
        <w:t>Observation 4</w:t>
      </w:r>
      <w:r>
        <w:t>: Following Rel. 16 approach, the UE stops the evaluation of the CPAC execution condition upon detecting an SCG failure and reports SCG Failure Information to MN. Upon receiving the information, the network may reconfigure the UE.</w:t>
      </w:r>
    </w:p>
    <w:p w14:paraId="2566FA61" w14:textId="0C1D1CBA" w:rsidR="00A6246A" w:rsidRDefault="00A6246A" w:rsidP="00A6246A">
      <w:r w:rsidRPr="003B4FE0">
        <w:rPr>
          <w:b/>
          <w:bCs/>
        </w:rPr>
        <w:lastRenderedPageBreak/>
        <w:t>Observation 5</w:t>
      </w:r>
      <w:r>
        <w:t>: UE</w:t>
      </w:r>
      <w:r w:rsidR="00D44750">
        <w:t>’s</w:t>
      </w:r>
      <w:r>
        <w:t xml:space="preserve"> CPAC recovery (similar to CHO recovery feature) reduces the recovery time and signalling overhead as the UE does not have to wait for an RRC Reconfiguration to be received from the network.</w:t>
      </w:r>
    </w:p>
    <w:p w14:paraId="1CE8BBA8" w14:textId="2773E743" w:rsidR="00D44750" w:rsidRDefault="00D44750" w:rsidP="00D44750">
      <w:r w:rsidRPr="00147AC2">
        <w:rPr>
          <w:b/>
          <w:bCs/>
        </w:rPr>
        <w:t>Observation 6</w:t>
      </w:r>
      <w:r>
        <w:t xml:space="preserve">: In UE’s CPAC recovery, the UE needs to check radio link of a given prepared target </w:t>
      </w:r>
      <w:proofErr w:type="spellStart"/>
      <w:r>
        <w:t>PSCell</w:t>
      </w:r>
      <w:proofErr w:type="spellEnd"/>
      <w:r>
        <w:t xml:space="preserve"> that is selected for recovery before attempting the execution of another CPAC configuration.</w:t>
      </w:r>
    </w:p>
    <w:p w14:paraId="0F905F4F" w14:textId="77777777" w:rsidR="00522AE0" w:rsidRPr="00727C1A" w:rsidRDefault="00522AE0" w:rsidP="00522AE0">
      <w:r>
        <w:rPr>
          <w:b/>
          <w:bCs/>
        </w:rPr>
        <w:t xml:space="preserve">Observation 7: </w:t>
      </w:r>
      <w:r>
        <w:t>Mechanisms may be needed to deal with the reconfiguration failures which may occur when applying another CPAC configuration (containing a different delta MCG/SCG config) in UE’s CPAC recovery.</w:t>
      </w:r>
    </w:p>
    <w:p w14:paraId="30A51A24" w14:textId="6A876A7A" w:rsidR="00522AE0" w:rsidRDefault="00522AE0" w:rsidP="00522AE0">
      <w:r w:rsidRPr="00ED485E">
        <w:rPr>
          <w:b/>
          <w:bCs/>
        </w:rPr>
        <w:t>Proposal 5</w:t>
      </w:r>
      <w:r>
        <w:t>: RAN2 to discuss on the need for supporting UE’s CPAC recovery mechanisms in Rel. 17. FFS if the UE still needs to send SCG Failure Information in such scenario.</w:t>
      </w:r>
    </w:p>
    <w:p w14:paraId="70452496" w14:textId="279976CB" w:rsidR="002E56E8" w:rsidRDefault="002E56E8" w:rsidP="002E56E8">
      <w:r w:rsidRPr="00C61D57">
        <w:rPr>
          <w:b/>
          <w:bCs/>
        </w:rPr>
        <w:t>Proposal 6</w:t>
      </w:r>
      <w:r>
        <w:t>: In case the UE does not support CPAC recovery mechanism (or the feature is not enabled for the UE by the network), the UE stops the evaluation of the CPAC conditional reconfiguration upon detecting an SCG failure and reports SCG Failure Information to MN (as performed in Rel. 16).</w:t>
      </w:r>
    </w:p>
    <w:p w14:paraId="4D0776D7" w14:textId="4FD2AA58" w:rsidR="00DB5716" w:rsidRPr="006E13D1" w:rsidRDefault="0048024A" w:rsidP="00A209D6">
      <w:r w:rsidRPr="003056E7">
        <w:rPr>
          <w:b/>
          <w:bCs/>
        </w:rPr>
        <w:t xml:space="preserve">Proposal </w:t>
      </w:r>
      <w:r>
        <w:rPr>
          <w:b/>
          <w:bCs/>
        </w:rPr>
        <w:t>7</w:t>
      </w:r>
      <w:r w:rsidRPr="003056E7">
        <w:rPr>
          <w:b/>
          <w:bCs/>
        </w:rPr>
        <w:t xml:space="preserve">: </w:t>
      </w:r>
      <w:r w:rsidRPr="00B06D95">
        <w:t>RAN2 is asked to discuss what other SCG Failure Information components to specify for CPC and CPA</w:t>
      </w:r>
      <w:r>
        <w:t>.</w:t>
      </w:r>
    </w:p>
    <w:p w14:paraId="20432A44" w14:textId="77777777" w:rsidR="0048024A" w:rsidRPr="002E50B6" w:rsidRDefault="0048024A" w:rsidP="0048024A">
      <w:r w:rsidRPr="003056E7">
        <w:rPr>
          <w:b/>
          <w:bCs/>
        </w:rPr>
        <w:t xml:space="preserve">Proposal </w:t>
      </w:r>
      <w:r>
        <w:rPr>
          <w:b/>
          <w:bCs/>
        </w:rPr>
        <w:t>8</w:t>
      </w:r>
      <w:r w:rsidRPr="002E50B6">
        <w:t>: SCG Failure Information for CPC should comprise the indication</w:t>
      </w:r>
      <w:r>
        <w:t xml:space="preserve"> that</w:t>
      </w:r>
      <w:r w:rsidRPr="002E50B6">
        <w:t xml:space="preserve"> CPC was prepared or executed. In addition, it can contain the execution conditions per each CPC candidate and associated measurements.</w:t>
      </w:r>
    </w:p>
    <w:p w14:paraId="2EE9BE0B" w14:textId="50C17571" w:rsidR="007E471B" w:rsidRDefault="007E471B" w:rsidP="007E471B">
      <w:r w:rsidRPr="003056E7">
        <w:rPr>
          <w:b/>
          <w:bCs/>
        </w:rPr>
        <w:t xml:space="preserve">Proposal </w:t>
      </w:r>
      <w:r>
        <w:rPr>
          <w:b/>
          <w:bCs/>
        </w:rPr>
        <w:t>9</w:t>
      </w:r>
      <w:r w:rsidRPr="003056E7">
        <w:rPr>
          <w:b/>
          <w:bCs/>
        </w:rPr>
        <w:t xml:space="preserve">: </w:t>
      </w:r>
      <w:r w:rsidRPr="002E50B6">
        <w:t xml:space="preserve">If Proposal </w:t>
      </w:r>
      <w:r w:rsidR="00B430D9">
        <w:t>8</w:t>
      </w:r>
      <w:r w:rsidRPr="002E50B6">
        <w:t xml:space="preserve"> is acceptable, RAN2 is asked to </w:t>
      </w:r>
      <w:r>
        <w:t>consider</w:t>
      </w:r>
      <w:r w:rsidRPr="002E50B6">
        <w:t xml:space="preserve"> the RRC changes suggested in Annex B of</w:t>
      </w:r>
      <w:r>
        <w:t xml:space="preserve"> R2-2003107</w:t>
      </w:r>
      <w:r w:rsidRPr="002E50B6">
        <w:t xml:space="preserve"> </w:t>
      </w:r>
      <w:r>
        <w:t>for the corresponding Stage-3 work</w:t>
      </w:r>
      <w:r w:rsidRPr="002E50B6">
        <w:t>.</w:t>
      </w:r>
    </w:p>
    <w:p w14:paraId="432B0A82" w14:textId="0A7D452E" w:rsidR="00A209D6" w:rsidRDefault="00B430D9" w:rsidP="00A209D6">
      <w:r w:rsidRPr="00FC52B2">
        <w:rPr>
          <w:b/>
          <w:bCs/>
        </w:rPr>
        <w:t>Proposal 10</w:t>
      </w:r>
      <w:r>
        <w:t xml:space="preserve">: RAN2 to prioritize Scenario 1 if time allows in Rel. 17 and to support Scenario 2 in the next 3GPP </w:t>
      </w:r>
      <w:proofErr w:type="gramStart"/>
      <w:r>
        <w:t>Release, if</w:t>
      </w:r>
      <w:proofErr w:type="gramEnd"/>
      <w:r>
        <w:t xml:space="preserve"> the work continues.</w:t>
      </w:r>
    </w:p>
    <w:p w14:paraId="4004947E" w14:textId="784E308F" w:rsidR="00A32AA9" w:rsidRPr="006E13D1" w:rsidRDefault="00A32AA9" w:rsidP="00A32AA9">
      <w:pPr>
        <w:pStyle w:val="Heading1"/>
      </w:pPr>
      <w:r>
        <w:t>4</w:t>
      </w:r>
      <w:r w:rsidRPr="006E13D1">
        <w:tab/>
      </w:r>
      <w:r>
        <w:t>References</w:t>
      </w:r>
    </w:p>
    <w:p w14:paraId="19BB7462" w14:textId="4C92216C" w:rsidR="004C2B42" w:rsidRDefault="00182552" w:rsidP="004C2B42">
      <w:pPr>
        <w:numPr>
          <w:ilvl w:val="0"/>
          <w:numId w:val="4"/>
        </w:numPr>
        <w:overflowPunct w:val="0"/>
        <w:autoSpaceDE w:val="0"/>
        <w:autoSpaceDN w:val="0"/>
        <w:adjustRightInd w:val="0"/>
        <w:textAlignment w:val="baseline"/>
      </w:pPr>
      <w:bookmarkStart w:id="0" w:name="_Ref70506028"/>
      <w:r>
        <w:t xml:space="preserve">R2-2102601, </w:t>
      </w:r>
      <w:r w:rsidRPr="006E016B">
        <w:rPr>
          <w:i/>
          <w:iCs/>
        </w:rPr>
        <w:t>Report of 3GPP TSG RAN WG2 meeting #113-e</w:t>
      </w:r>
      <w:r>
        <w:t xml:space="preserve">, 25 January – 5 </w:t>
      </w:r>
      <w:proofErr w:type="gramStart"/>
      <w:r>
        <w:t>February,</w:t>
      </w:r>
      <w:proofErr w:type="gramEnd"/>
      <w:r>
        <w:t xml:space="preserve"> 2021.</w:t>
      </w:r>
      <w:bookmarkEnd w:id="0"/>
    </w:p>
    <w:p w14:paraId="1D191D01" w14:textId="6BB064E0" w:rsidR="00182552" w:rsidRDefault="00182552" w:rsidP="006C5E3F">
      <w:pPr>
        <w:numPr>
          <w:ilvl w:val="0"/>
          <w:numId w:val="4"/>
        </w:numPr>
        <w:overflowPunct w:val="0"/>
        <w:autoSpaceDE w:val="0"/>
        <w:autoSpaceDN w:val="0"/>
        <w:adjustRightInd w:val="0"/>
        <w:textAlignment w:val="baseline"/>
      </w:pPr>
      <w:bookmarkStart w:id="1" w:name="_Ref70506035"/>
      <w:r>
        <w:t>R2-</w:t>
      </w:r>
      <w:r w:rsidR="006C5E3F">
        <w:t>2104301</w:t>
      </w:r>
      <w:r>
        <w:t xml:space="preserve">, </w:t>
      </w:r>
      <w:r w:rsidR="006C5E3F" w:rsidRPr="006C5E3F">
        <w:t>Report on LTE legacy, Mobility, DCCA, Multi-SIM and RAN slicing</w:t>
      </w:r>
      <w:r w:rsidR="006C5E3F">
        <w:t xml:space="preserve"> 3GPP TSG-RAN WG2 Meeting #113 bis electronic Online, April 12 – April 20, 2021</w:t>
      </w:r>
      <w:r>
        <w:t>,</w:t>
      </w:r>
      <w:bookmarkEnd w:id="1"/>
    </w:p>
    <w:p w14:paraId="04298BA4" w14:textId="376B36F0" w:rsidR="00581231" w:rsidRDefault="00581231" w:rsidP="004C2B42">
      <w:pPr>
        <w:numPr>
          <w:ilvl w:val="0"/>
          <w:numId w:val="4"/>
        </w:numPr>
        <w:overflowPunct w:val="0"/>
        <w:autoSpaceDE w:val="0"/>
        <w:autoSpaceDN w:val="0"/>
        <w:adjustRightInd w:val="0"/>
        <w:textAlignment w:val="baseline"/>
      </w:pPr>
      <w:r>
        <w:t xml:space="preserve">TS 38.331, </w:t>
      </w:r>
      <w:r w:rsidRPr="006E016B">
        <w:rPr>
          <w:i/>
          <w:iCs/>
        </w:rPr>
        <w:t>Radio Resource Control (RRC) protocol specification</w:t>
      </w:r>
      <w:r>
        <w:t xml:space="preserve"> (Release 16)</w:t>
      </w:r>
      <w:r w:rsidR="00AD11FD">
        <w:t>.</w:t>
      </w:r>
    </w:p>
    <w:p w14:paraId="2E963452" w14:textId="0BB74D27" w:rsidR="009C2662" w:rsidRDefault="009C2662" w:rsidP="009C2662">
      <w:pPr>
        <w:numPr>
          <w:ilvl w:val="0"/>
          <w:numId w:val="4"/>
        </w:numPr>
        <w:overflowPunct w:val="0"/>
        <w:autoSpaceDE w:val="0"/>
        <w:autoSpaceDN w:val="0"/>
        <w:adjustRightInd w:val="0"/>
        <w:textAlignment w:val="baseline"/>
      </w:pPr>
      <w:bookmarkStart w:id="2" w:name="_Ref60738573"/>
      <w:r w:rsidRPr="003056E7">
        <w:t>R2-2003107</w:t>
      </w:r>
      <w:r>
        <w:t>,</w:t>
      </w:r>
      <w:r w:rsidRPr="003056E7">
        <w:t xml:space="preserve"> </w:t>
      </w:r>
      <w:r w:rsidRPr="003056E7">
        <w:rPr>
          <w:i/>
          <w:iCs/>
        </w:rPr>
        <w:t xml:space="preserve">On how to close the open issues for Conditional </w:t>
      </w:r>
      <w:proofErr w:type="spellStart"/>
      <w:r w:rsidRPr="003056E7">
        <w:rPr>
          <w:i/>
          <w:iCs/>
        </w:rPr>
        <w:t>PSCell</w:t>
      </w:r>
      <w:proofErr w:type="spellEnd"/>
      <w:r w:rsidRPr="003056E7">
        <w:rPr>
          <w:i/>
          <w:iCs/>
        </w:rPr>
        <w:t xml:space="preserve"> Change</w:t>
      </w:r>
      <w:r w:rsidRPr="003056E7">
        <w:t xml:space="preserve"> 3GPP TSG-RAN WG2 Meeting #109bis-e </w:t>
      </w:r>
      <w:proofErr w:type="spellStart"/>
      <w:r w:rsidRPr="003056E7">
        <w:t>Elbonia</w:t>
      </w:r>
      <w:proofErr w:type="spellEnd"/>
      <w:r w:rsidRPr="003056E7">
        <w:t>, 20 – 30 April 2020</w:t>
      </w:r>
      <w:r>
        <w:t>.</w:t>
      </w:r>
      <w:bookmarkEnd w:id="2"/>
    </w:p>
    <w:p w14:paraId="12178459" w14:textId="6FB84007" w:rsidR="003C3EAC" w:rsidRDefault="003C3EAC" w:rsidP="009C2662">
      <w:pPr>
        <w:numPr>
          <w:ilvl w:val="0"/>
          <w:numId w:val="4"/>
        </w:numPr>
        <w:overflowPunct w:val="0"/>
        <w:autoSpaceDE w:val="0"/>
        <w:autoSpaceDN w:val="0"/>
        <w:adjustRightInd w:val="0"/>
        <w:textAlignment w:val="baseline"/>
      </w:pPr>
      <w:bookmarkStart w:id="3" w:name="_Ref70583070"/>
      <w:r>
        <w:t>R2-21</w:t>
      </w:r>
      <w:r w:rsidR="00EB5F69">
        <w:t>03109</w:t>
      </w:r>
      <w:r>
        <w:t xml:space="preserve">, </w:t>
      </w:r>
      <w:r w:rsidRPr="006E016B">
        <w:rPr>
          <w:i/>
          <w:iCs/>
        </w:rPr>
        <w:t>Summary of [Post113-e][</w:t>
      </w:r>
      <w:proofErr w:type="gramStart"/>
      <w:r w:rsidRPr="006E016B">
        <w:rPr>
          <w:i/>
          <w:iCs/>
        </w:rPr>
        <w:t>234][</w:t>
      </w:r>
      <w:proofErr w:type="spellStart"/>
      <w:proofErr w:type="gramEnd"/>
      <w:r w:rsidRPr="006E016B">
        <w:rPr>
          <w:i/>
          <w:iCs/>
        </w:rPr>
        <w:t>eDCCA</w:t>
      </w:r>
      <w:proofErr w:type="spellEnd"/>
      <w:r w:rsidRPr="006E016B">
        <w:rPr>
          <w:i/>
          <w:iCs/>
        </w:rPr>
        <w:t>] CPAC Procedures (CATT)</w:t>
      </w:r>
      <w:r>
        <w:t>, 3GPP TSG-RAN WG2 Meeting #113bis Electronic</w:t>
      </w:r>
      <w:r w:rsidR="00586920">
        <w:t>.</w:t>
      </w:r>
      <w:bookmarkEnd w:id="3"/>
    </w:p>
    <w:p w14:paraId="27276D3B" w14:textId="77777777" w:rsidR="009C2662" w:rsidRPr="003056E7" w:rsidRDefault="009C2662" w:rsidP="009C2662">
      <w:pPr>
        <w:overflowPunct w:val="0"/>
        <w:autoSpaceDE w:val="0"/>
        <w:autoSpaceDN w:val="0"/>
        <w:adjustRightInd w:val="0"/>
        <w:ind w:left="357"/>
        <w:textAlignment w:val="baseline"/>
      </w:pPr>
    </w:p>
    <w:p w14:paraId="653EED19" w14:textId="77777777" w:rsidR="00A209D6" w:rsidRPr="00CD4C7B" w:rsidRDefault="00A209D6" w:rsidP="00A209D6"/>
    <w:p w14:paraId="35F222F4" w14:textId="77777777" w:rsidR="00080512" w:rsidRPr="00A209D6" w:rsidRDefault="00080512" w:rsidP="00A209D6"/>
    <w:sectPr w:rsidR="00080512" w:rsidRPr="00A209D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7E22A8C" w14:textId="77777777" w:rsidR="00946345" w:rsidRDefault="00946345">
      <w:r>
        <w:separator/>
      </w:r>
    </w:p>
  </w:endnote>
  <w:endnote w:type="continuationSeparator" w:id="0">
    <w:p w14:paraId="73A83CF7" w14:textId="77777777" w:rsidR="00946345" w:rsidRDefault="00946345">
      <w:r>
        <w:continuationSeparator/>
      </w:r>
    </w:p>
  </w:endnote>
  <w:endnote w:type="continuationNotice" w:id="1">
    <w:p w14:paraId="3002D7A4" w14:textId="77777777" w:rsidR="00946345" w:rsidRDefault="0094634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EE"/>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030F8B1" w14:textId="77777777" w:rsidR="00946345" w:rsidRDefault="00946345">
      <w:r>
        <w:separator/>
      </w:r>
    </w:p>
  </w:footnote>
  <w:footnote w:type="continuationSeparator" w:id="0">
    <w:p w14:paraId="33BDEAAF" w14:textId="77777777" w:rsidR="00946345" w:rsidRDefault="00946345">
      <w:r>
        <w:continuationSeparator/>
      </w:r>
    </w:p>
  </w:footnote>
  <w:footnote w:type="continuationNotice" w:id="1">
    <w:p w14:paraId="32190882" w14:textId="77777777" w:rsidR="00946345" w:rsidRDefault="0094634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5"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6" w15:restartNumberingAfterBreak="0">
    <w:nsid w:val="53F17BE9"/>
    <w:multiLevelType w:val="hybridMultilevel"/>
    <w:tmpl w:val="DB5E6254"/>
    <w:lvl w:ilvl="0" w:tplc="A506599E">
      <w:start w:val="2"/>
      <w:numFmt w:val="bullet"/>
      <w:lvlText w:val="-"/>
      <w:lvlJc w:val="left"/>
      <w:pPr>
        <w:ind w:left="1212" w:hanging="360"/>
      </w:pPr>
      <w:rPr>
        <w:rFonts w:ascii="Times New Roman" w:eastAsia="SimSun"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7"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4"/>
  </w:num>
  <w:num w:numId="7">
    <w:abstractNumId w:val="5"/>
  </w:num>
  <w:num w:numId="8">
    <w:abstractNumId w:val="7"/>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6557"/>
    <w:rsid w:val="00023C40"/>
    <w:rsid w:val="00033397"/>
    <w:rsid w:val="000341C8"/>
    <w:rsid w:val="00037F18"/>
    <w:rsid w:val="00040095"/>
    <w:rsid w:val="00055A14"/>
    <w:rsid w:val="00065268"/>
    <w:rsid w:val="00070BD8"/>
    <w:rsid w:val="00070CA6"/>
    <w:rsid w:val="00073C9C"/>
    <w:rsid w:val="00080512"/>
    <w:rsid w:val="00090468"/>
    <w:rsid w:val="00094568"/>
    <w:rsid w:val="000A4B98"/>
    <w:rsid w:val="000B7BCF"/>
    <w:rsid w:val="000C522B"/>
    <w:rsid w:val="000D2D32"/>
    <w:rsid w:val="000D58AB"/>
    <w:rsid w:val="000E0AC4"/>
    <w:rsid w:val="00112F1A"/>
    <w:rsid w:val="0013095C"/>
    <w:rsid w:val="00145075"/>
    <w:rsid w:val="00147AC2"/>
    <w:rsid w:val="001572C4"/>
    <w:rsid w:val="001741A0"/>
    <w:rsid w:val="00175FA0"/>
    <w:rsid w:val="001815FF"/>
    <w:rsid w:val="00182552"/>
    <w:rsid w:val="00194CD0"/>
    <w:rsid w:val="001B3D2C"/>
    <w:rsid w:val="001B49C9"/>
    <w:rsid w:val="001B6A3B"/>
    <w:rsid w:val="001C23F4"/>
    <w:rsid w:val="001C4F79"/>
    <w:rsid w:val="001C6A0F"/>
    <w:rsid w:val="001D6580"/>
    <w:rsid w:val="001F168B"/>
    <w:rsid w:val="001F16F2"/>
    <w:rsid w:val="001F5708"/>
    <w:rsid w:val="001F7831"/>
    <w:rsid w:val="00200F41"/>
    <w:rsid w:val="00204045"/>
    <w:rsid w:val="00204D50"/>
    <w:rsid w:val="0020712B"/>
    <w:rsid w:val="0022606D"/>
    <w:rsid w:val="00231728"/>
    <w:rsid w:val="00244A05"/>
    <w:rsid w:val="00250404"/>
    <w:rsid w:val="002515BA"/>
    <w:rsid w:val="002610D8"/>
    <w:rsid w:val="00266F4B"/>
    <w:rsid w:val="002747EC"/>
    <w:rsid w:val="002855BF"/>
    <w:rsid w:val="00294DC3"/>
    <w:rsid w:val="002D0E32"/>
    <w:rsid w:val="002E2698"/>
    <w:rsid w:val="002E56E8"/>
    <w:rsid w:val="002E7D66"/>
    <w:rsid w:val="002F0D22"/>
    <w:rsid w:val="00311B17"/>
    <w:rsid w:val="003172DC"/>
    <w:rsid w:val="00325AE3"/>
    <w:rsid w:val="00326069"/>
    <w:rsid w:val="0034008E"/>
    <w:rsid w:val="00351D42"/>
    <w:rsid w:val="0035462D"/>
    <w:rsid w:val="0036459E"/>
    <w:rsid w:val="00364B41"/>
    <w:rsid w:val="00367E2B"/>
    <w:rsid w:val="0037638E"/>
    <w:rsid w:val="00383096"/>
    <w:rsid w:val="0039346C"/>
    <w:rsid w:val="003A1D21"/>
    <w:rsid w:val="003A41EF"/>
    <w:rsid w:val="003B40AD"/>
    <w:rsid w:val="003B4FE0"/>
    <w:rsid w:val="003C3EAC"/>
    <w:rsid w:val="003C4E37"/>
    <w:rsid w:val="003D09EC"/>
    <w:rsid w:val="003E16BE"/>
    <w:rsid w:val="003F08B0"/>
    <w:rsid w:val="003F4E28"/>
    <w:rsid w:val="004006E8"/>
    <w:rsid w:val="00401855"/>
    <w:rsid w:val="004302C0"/>
    <w:rsid w:val="00465587"/>
    <w:rsid w:val="00477455"/>
    <w:rsid w:val="0048024A"/>
    <w:rsid w:val="004A1F7B"/>
    <w:rsid w:val="004C2B42"/>
    <w:rsid w:val="004C44D2"/>
    <w:rsid w:val="004C7C80"/>
    <w:rsid w:val="004D3578"/>
    <w:rsid w:val="004D380D"/>
    <w:rsid w:val="004E20EB"/>
    <w:rsid w:val="004E213A"/>
    <w:rsid w:val="004F4540"/>
    <w:rsid w:val="004F73A7"/>
    <w:rsid w:val="00503171"/>
    <w:rsid w:val="00506C28"/>
    <w:rsid w:val="00512DFA"/>
    <w:rsid w:val="00515771"/>
    <w:rsid w:val="00522AE0"/>
    <w:rsid w:val="00534DA0"/>
    <w:rsid w:val="00543E6C"/>
    <w:rsid w:val="00555C2B"/>
    <w:rsid w:val="00565087"/>
    <w:rsid w:val="0056573F"/>
    <w:rsid w:val="00571279"/>
    <w:rsid w:val="00571EA8"/>
    <w:rsid w:val="0057314D"/>
    <w:rsid w:val="00577386"/>
    <w:rsid w:val="00581231"/>
    <w:rsid w:val="00584D19"/>
    <w:rsid w:val="005865C8"/>
    <w:rsid w:val="00586920"/>
    <w:rsid w:val="00590458"/>
    <w:rsid w:val="005921B9"/>
    <w:rsid w:val="005953CB"/>
    <w:rsid w:val="005A49C6"/>
    <w:rsid w:val="005B061B"/>
    <w:rsid w:val="005B2DA6"/>
    <w:rsid w:val="005C3347"/>
    <w:rsid w:val="005C48D0"/>
    <w:rsid w:val="005F56BE"/>
    <w:rsid w:val="0060138C"/>
    <w:rsid w:val="00611566"/>
    <w:rsid w:val="00632633"/>
    <w:rsid w:val="00646D99"/>
    <w:rsid w:val="006522CB"/>
    <w:rsid w:val="00656910"/>
    <w:rsid w:val="006574C0"/>
    <w:rsid w:val="006703AC"/>
    <w:rsid w:val="006741F3"/>
    <w:rsid w:val="00674D40"/>
    <w:rsid w:val="0068000E"/>
    <w:rsid w:val="0068610E"/>
    <w:rsid w:val="00696821"/>
    <w:rsid w:val="006A04C2"/>
    <w:rsid w:val="006C5059"/>
    <w:rsid w:val="006C5E3F"/>
    <w:rsid w:val="006C66D8"/>
    <w:rsid w:val="006D1E24"/>
    <w:rsid w:val="006D35DE"/>
    <w:rsid w:val="006E016B"/>
    <w:rsid w:val="006E1057"/>
    <w:rsid w:val="006E1417"/>
    <w:rsid w:val="006F6A2C"/>
    <w:rsid w:val="007069DC"/>
    <w:rsid w:val="00710201"/>
    <w:rsid w:val="0072073A"/>
    <w:rsid w:val="00727C1A"/>
    <w:rsid w:val="007342B5"/>
    <w:rsid w:val="00734A5B"/>
    <w:rsid w:val="00744E76"/>
    <w:rsid w:val="00757D40"/>
    <w:rsid w:val="00763EFF"/>
    <w:rsid w:val="0076626B"/>
    <w:rsid w:val="007662B5"/>
    <w:rsid w:val="00781F0F"/>
    <w:rsid w:val="0078727C"/>
    <w:rsid w:val="0079049D"/>
    <w:rsid w:val="00791D72"/>
    <w:rsid w:val="00793DC5"/>
    <w:rsid w:val="00796823"/>
    <w:rsid w:val="007A2E55"/>
    <w:rsid w:val="007B18D8"/>
    <w:rsid w:val="007B229E"/>
    <w:rsid w:val="007C095F"/>
    <w:rsid w:val="007C2DD0"/>
    <w:rsid w:val="007D2BEB"/>
    <w:rsid w:val="007D2E48"/>
    <w:rsid w:val="007E471B"/>
    <w:rsid w:val="007F2E08"/>
    <w:rsid w:val="008028A4"/>
    <w:rsid w:val="00813245"/>
    <w:rsid w:val="00840DE0"/>
    <w:rsid w:val="0085409D"/>
    <w:rsid w:val="008607A8"/>
    <w:rsid w:val="0086354A"/>
    <w:rsid w:val="0087401C"/>
    <w:rsid w:val="008768CA"/>
    <w:rsid w:val="00877EF9"/>
    <w:rsid w:val="00880559"/>
    <w:rsid w:val="008A5B70"/>
    <w:rsid w:val="008B149D"/>
    <w:rsid w:val="008B5306"/>
    <w:rsid w:val="008C2E2A"/>
    <w:rsid w:val="008C3057"/>
    <w:rsid w:val="008D2E4D"/>
    <w:rsid w:val="008E42A6"/>
    <w:rsid w:val="008E5FF6"/>
    <w:rsid w:val="008F396F"/>
    <w:rsid w:val="008F3DCD"/>
    <w:rsid w:val="0090271F"/>
    <w:rsid w:val="00902DB9"/>
    <w:rsid w:val="0090466A"/>
    <w:rsid w:val="009140F0"/>
    <w:rsid w:val="00923655"/>
    <w:rsid w:val="009351D9"/>
    <w:rsid w:val="00936071"/>
    <w:rsid w:val="009376CD"/>
    <w:rsid w:val="00940212"/>
    <w:rsid w:val="00941CCC"/>
    <w:rsid w:val="00942EC2"/>
    <w:rsid w:val="00946345"/>
    <w:rsid w:val="00955EEA"/>
    <w:rsid w:val="00960119"/>
    <w:rsid w:val="00960D7F"/>
    <w:rsid w:val="00961B32"/>
    <w:rsid w:val="00962509"/>
    <w:rsid w:val="00970DB3"/>
    <w:rsid w:val="00974BB0"/>
    <w:rsid w:val="00975BCD"/>
    <w:rsid w:val="009928A9"/>
    <w:rsid w:val="009A0AF3"/>
    <w:rsid w:val="009B07CD"/>
    <w:rsid w:val="009C19E9"/>
    <w:rsid w:val="009C2662"/>
    <w:rsid w:val="009D74A6"/>
    <w:rsid w:val="009E0E87"/>
    <w:rsid w:val="009E76EC"/>
    <w:rsid w:val="00A10D6E"/>
    <w:rsid w:val="00A10F02"/>
    <w:rsid w:val="00A204CA"/>
    <w:rsid w:val="00A209D6"/>
    <w:rsid w:val="00A22738"/>
    <w:rsid w:val="00A255C9"/>
    <w:rsid w:val="00A32AA9"/>
    <w:rsid w:val="00A430EC"/>
    <w:rsid w:val="00A47A7F"/>
    <w:rsid w:val="00A53724"/>
    <w:rsid w:val="00A54B2B"/>
    <w:rsid w:val="00A6246A"/>
    <w:rsid w:val="00A765EE"/>
    <w:rsid w:val="00A82346"/>
    <w:rsid w:val="00A9671C"/>
    <w:rsid w:val="00AA1553"/>
    <w:rsid w:val="00AA48E1"/>
    <w:rsid w:val="00AC2844"/>
    <w:rsid w:val="00AD11FD"/>
    <w:rsid w:val="00B05380"/>
    <w:rsid w:val="00B05962"/>
    <w:rsid w:val="00B1360F"/>
    <w:rsid w:val="00B15449"/>
    <w:rsid w:val="00B16C2F"/>
    <w:rsid w:val="00B22A5E"/>
    <w:rsid w:val="00B25793"/>
    <w:rsid w:val="00B27303"/>
    <w:rsid w:val="00B3254C"/>
    <w:rsid w:val="00B34690"/>
    <w:rsid w:val="00B40B37"/>
    <w:rsid w:val="00B430D9"/>
    <w:rsid w:val="00B47FD1"/>
    <w:rsid w:val="00B516BB"/>
    <w:rsid w:val="00B74D5B"/>
    <w:rsid w:val="00B7538C"/>
    <w:rsid w:val="00B84DB2"/>
    <w:rsid w:val="00BA1912"/>
    <w:rsid w:val="00BA3206"/>
    <w:rsid w:val="00BB3D1B"/>
    <w:rsid w:val="00BC3555"/>
    <w:rsid w:val="00BE1773"/>
    <w:rsid w:val="00C04585"/>
    <w:rsid w:val="00C056E6"/>
    <w:rsid w:val="00C128AF"/>
    <w:rsid w:val="00C12B51"/>
    <w:rsid w:val="00C24650"/>
    <w:rsid w:val="00C25465"/>
    <w:rsid w:val="00C33079"/>
    <w:rsid w:val="00C41CEC"/>
    <w:rsid w:val="00C5226A"/>
    <w:rsid w:val="00C55A12"/>
    <w:rsid w:val="00C61D57"/>
    <w:rsid w:val="00C6553E"/>
    <w:rsid w:val="00C83A13"/>
    <w:rsid w:val="00C86F10"/>
    <w:rsid w:val="00C9068C"/>
    <w:rsid w:val="00C92967"/>
    <w:rsid w:val="00C96398"/>
    <w:rsid w:val="00CA3D0C"/>
    <w:rsid w:val="00CA40CE"/>
    <w:rsid w:val="00CA654B"/>
    <w:rsid w:val="00CB72B8"/>
    <w:rsid w:val="00CD0BA8"/>
    <w:rsid w:val="00CD3AEC"/>
    <w:rsid w:val="00CD4544"/>
    <w:rsid w:val="00CD4C7B"/>
    <w:rsid w:val="00CD58FE"/>
    <w:rsid w:val="00D069C1"/>
    <w:rsid w:val="00D16D99"/>
    <w:rsid w:val="00D239E0"/>
    <w:rsid w:val="00D30F3F"/>
    <w:rsid w:val="00D33BE3"/>
    <w:rsid w:val="00D3792D"/>
    <w:rsid w:val="00D44750"/>
    <w:rsid w:val="00D55E47"/>
    <w:rsid w:val="00D62E19"/>
    <w:rsid w:val="00D633FD"/>
    <w:rsid w:val="00D67CD1"/>
    <w:rsid w:val="00D738D6"/>
    <w:rsid w:val="00D80795"/>
    <w:rsid w:val="00D854BE"/>
    <w:rsid w:val="00D87E00"/>
    <w:rsid w:val="00D9134D"/>
    <w:rsid w:val="00D96D11"/>
    <w:rsid w:val="00DA7A03"/>
    <w:rsid w:val="00DB0DB8"/>
    <w:rsid w:val="00DB1818"/>
    <w:rsid w:val="00DB5716"/>
    <w:rsid w:val="00DC309B"/>
    <w:rsid w:val="00DC4DA2"/>
    <w:rsid w:val="00DC5261"/>
    <w:rsid w:val="00DD60A8"/>
    <w:rsid w:val="00DE25D2"/>
    <w:rsid w:val="00DF78C9"/>
    <w:rsid w:val="00E15427"/>
    <w:rsid w:val="00E15F32"/>
    <w:rsid w:val="00E232E6"/>
    <w:rsid w:val="00E25ABB"/>
    <w:rsid w:val="00E42CD0"/>
    <w:rsid w:val="00E46C08"/>
    <w:rsid w:val="00E471CF"/>
    <w:rsid w:val="00E6249B"/>
    <w:rsid w:val="00E62835"/>
    <w:rsid w:val="00E66D1E"/>
    <w:rsid w:val="00E70FA1"/>
    <w:rsid w:val="00E77645"/>
    <w:rsid w:val="00E80BE2"/>
    <w:rsid w:val="00E8332C"/>
    <w:rsid w:val="00E83697"/>
    <w:rsid w:val="00E859B6"/>
    <w:rsid w:val="00EA66C9"/>
    <w:rsid w:val="00EB5F69"/>
    <w:rsid w:val="00EB7303"/>
    <w:rsid w:val="00EC4A25"/>
    <w:rsid w:val="00ED485E"/>
    <w:rsid w:val="00ED62C5"/>
    <w:rsid w:val="00EE08B6"/>
    <w:rsid w:val="00EE2635"/>
    <w:rsid w:val="00EF612C"/>
    <w:rsid w:val="00EF769B"/>
    <w:rsid w:val="00F025A2"/>
    <w:rsid w:val="00F02914"/>
    <w:rsid w:val="00F036E9"/>
    <w:rsid w:val="00F07388"/>
    <w:rsid w:val="00F2026E"/>
    <w:rsid w:val="00F2210A"/>
    <w:rsid w:val="00F31372"/>
    <w:rsid w:val="00F37743"/>
    <w:rsid w:val="00F505C8"/>
    <w:rsid w:val="00F54A3D"/>
    <w:rsid w:val="00F54CB0"/>
    <w:rsid w:val="00F579CD"/>
    <w:rsid w:val="00F653B8"/>
    <w:rsid w:val="00F71B89"/>
    <w:rsid w:val="00F7353C"/>
    <w:rsid w:val="00F76F8F"/>
    <w:rsid w:val="00F834E1"/>
    <w:rsid w:val="00F941DF"/>
    <w:rsid w:val="00F944E9"/>
    <w:rsid w:val="00F95A66"/>
    <w:rsid w:val="00FA1266"/>
    <w:rsid w:val="00FB36FA"/>
    <w:rsid w:val="00FC1192"/>
    <w:rsid w:val="00FC3227"/>
    <w:rsid w:val="00FC42CF"/>
    <w:rsid w:val="00FC52B2"/>
    <w:rsid w:val="00FD28C5"/>
    <w:rsid w:val="00FE106D"/>
    <w:rsid w:val="00FE13AB"/>
    <w:rsid w:val="00FE251B"/>
    <w:rsid w:val="38A01D4E"/>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4E6408C7-028C-4926-8A51-0020EB1B07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customStyle="1" w:styleId="paragraph">
    <w:name w:val="paragraph"/>
    <w:basedOn w:val="Normal"/>
    <w:rsid w:val="00941CCC"/>
    <w:pPr>
      <w:spacing w:before="100" w:beforeAutospacing="1" w:after="100" w:afterAutospacing="1"/>
    </w:pPr>
    <w:rPr>
      <w:sz w:val="24"/>
      <w:szCs w:val="24"/>
      <w:lang w:val="de-DE" w:eastAsia="de-DE"/>
    </w:rPr>
  </w:style>
  <w:style w:type="character" w:customStyle="1" w:styleId="normaltextrun">
    <w:name w:val="normaltextrun"/>
    <w:basedOn w:val="DefaultParagraphFont"/>
    <w:rsid w:val="00941CCC"/>
  </w:style>
  <w:style w:type="character" w:customStyle="1" w:styleId="eop">
    <w:name w:val="eop"/>
    <w:basedOn w:val="DefaultParagraphFont"/>
    <w:rsid w:val="00941CCC"/>
  </w:style>
  <w:style w:type="table" w:styleId="TableGrid">
    <w:name w:val="Table Grid"/>
    <w:basedOn w:val="TableNormal"/>
    <w:uiPriority w:val="59"/>
    <w:rsid w:val="00941CCC"/>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Normal"/>
    <w:qFormat/>
    <w:rsid w:val="00B34690"/>
    <w:pPr>
      <w:numPr>
        <w:numId w:val="8"/>
      </w:numPr>
      <w:tabs>
        <w:tab w:val="num" w:pos="1619"/>
      </w:tabs>
      <w:overflowPunct w:val="0"/>
      <w:autoSpaceDE w:val="0"/>
      <w:autoSpaceDN w:val="0"/>
      <w:adjustRightInd w:val="0"/>
      <w:spacing w:before="60" w:after="0"/>
      <w:ind w:left="1616" w:hanging="357"/>
    </w:pPr>
    <w:rPr>
      <w:rFonts w:ascii="Arial" w:hAnsi="Arial"/>
      <w:b/>
      <w:lang w:eastAsia="ja-JP"/>
    </w:rPr>
  </w:style>
  <w:style w:type="character" w:styleId="CommentReference">
    <w:name w:val="annotation reference"/>
    <w:basedOn w:val="DefaultParagraphFont"/>
    <w:rsid w:val="00182552"/>
    <w:rPr>
      <w:sz w:val="16"/>
      <w:szCs w:val="16"/>
    </w:rPr>
  </w:style>
  <w:style w:type="paragraph" w:styleId="CommentText">
    <w:name w:val="annotation text"/>
    <w:basedOn w:val="Normal"/>
    <w:link w:val="CommentTextChar"/>
    <w:rsid w:val="00182552"/>
  </w:style>
  <w:style w:type="character" w:customStyle="1" w:styleId="CommentTextChar">
    <w:name w:val="Comment Text Char"/>
    <w:basedOn w:val="DefaultParagraphFont"/>
    <w:link w:val="CommentText"/>
    <w:rsid w:val="00182552"/>
    <w:rPr>
      <w:lang w:eastAsia="en-US"/>
    </w:rPr>
  </w:style>
  <w:style w:type="paragraph" w:styleId="CommentSubject">
    <w:name w:val="annotation subject"/>
    <w:basedOn w:val="CommentText"/>
    <w:next w:val="CommentText"/>
    <w:link w:val="CommentSubjectChar"/>
    <w:rsid w:val="00182552"/>
    <w:rPr>
      <w:b/>
      <w:bCs/>
    </w:rPr>
  </w:style>
  <w:style w:type="character" w:customStyle="1" w:styleId="CommentSubjectChar">
    <w:name w:val="Comment Subject Char"/>
    <w:basedOn w:val="CommentTextChar"/>
    <w:link w:val="CommentSubject"/>
    <w:rsid w:val="00182552"/>
    <w:rPr>
      <w:b/>
      <w:bCs/>
      <w:lang w:eastAsia="en-US"/>
    </w:rPr>
  </w:style>
  <w:style w:type="character" w:customStyle="1" w:styleId="tabchar">
    <w:name w:val="tabchar"/>
    <w:basedOn w:val="DefaultParagraphFont"/>
    <w:rsid w:val="00581231"/>
  </w:style>
  <w:style w:type="paragraph" w:styleId="ListParagraph">
    <w:name w:val="List Paragraph"/>
    <w:basedOn w:val="Normal"/>
    <w:uiPriority w:val="34"/>
    <w:qFormat/>
    <w:rsid w:val="00586920"/>
    <w:pPr>
      <w:spacing w:line="259" w:lineRule="auto"/>
      <w:ind w:left="720"/>
      <w:contextualSpacing/>
      <w:jc w:val="both"/>
    </w:pPr>
    <w:rPr>
      <w:rFonts w:eastAsia="SimSu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1888107">
      <w:bodyDiv w:val="1"/>
      <w:marLeft w:val="0"/>
      <w:marRight w:val="0"/>
      <w:marTop w:val="0"/>
      <w:marBottom w:val="0"/>
      <w:divBdr>
        <w:top w:val="none" w:sz="0" w:space="0" w:color="auto"/>
        <w:left w:val="none" w:sz="0" w:space="0" w:color="auto"/>
        <w:bottom w:val="none" w:sz="0" w:space="0" w:color="auto"/>
        <w:right w:val="none" w:sz="0" w:space="0" w:color="auto"/>
      </w:divBdr>
    </w:div>
    <w:div w:id="490486982">
      <w:bodyDiv w:val="1"/>
      <w:marLeft w:val="0"/>
      <w:marRight w:val="0"/>
      <w:marTop w:val="0"/>
      <w:marBottom w:val="0"/>
      <w:divBdr>
        <w:top w:val="none" w:sz="0" w:space="0" w:color="auto"/>
        <w:left w:val="none" w:sz="0" w:space="0" w:color="auto"/>
        <w:bottom w:val="none" w:sz="0" w:space="0" w:color="auto"/>
        <w:right w:val="none" w:sz="0" w:space="0" w:color="auto"/>
      </w:divBdr>
    </w:div>
    <w:div w:id="654459648">
      <w:bodyDiv w:val="1"/>
      <w:marLeft w:val="0"/>
      <w:marRight w:val="0"/>
      <w:marTop w:val="0"/>
      <w:marBottom w:val="0"/>
      <w:divBdr>
        <w:top w:val="none" w:sz="0" w:space="0" w:color="auto"/>
        <w:left w:val="none" w:sz="0" w:space="0" w:color="auto"/>
        <w:bottom w:val="none" w:sz="0" w:space="0" w:color="auto"/>
        <w:right w:val="none" w:sz="0" w:space="0" w:color="auto"/>
      </w:divBdr>
    </w:div>
    <w:div w:id="857541848">
      <w:bodyDiv w:val="1"/>
      <w:marLeft w:val="0"/>
      <w:marRight w:val="0"/>
      <w:marTop w:val="0"/>
      <w:marBottom w:val="0"/>
      <w:divBdr>
        <w:top w:val="none" w:sz="0" w:space="0" w:color="auto"/>
        <w:left w:val="none" w:sz="0" w:space="0" w:color="auto"/>
        <w:bottom w:val="none" w:sz="0" w:space="0" w:color="auto"/>
        <w:right w:val="none" w:sz="0" w:space="0" w:color="auto"/>
      </w:divBdr>
      <w:divsChild>
        <w:div w:id="149566410">
          <w:marLeft w:val="0"/>
          <w:marRight w:val="0"/>
          <w:marTop w:val="0"/>
          <w:marBottom w:val="0"/>
          <w:divBdr>
            <w:top w:val="none" w:sz="0" w:space="0" w:color="auto"/>
            <w:left w:val="none" w:sz="0" w:space="0" w:color="auto"/>
            <w:bottom w:val="none" w:sz="0" w:space="0" w:color="auto"/>
            <w:right w:val="none" w:sz="0" w:space="0" w:color="auto"/>
          </w:divBdr>
        </w:div>
        <w:div w:id="343483972">
          <w:marLeft w:val="0"/>
          <w:marRight w:val="0"/>
          <w:marTop w:val="0"/>
          <w:marBottom w:val="0"/>
          <w:divBdr>
            <w:top w:val="none" w:sz="0" w:space="0" w:color="auto"/>
            <w:left w:val="none" w:sz="0" w:space="0" w:color="auto"/>
            <w:bottom w:val="none" w:sz="0" w:space="0" w:color="auto"/>
            <w:right w:val="none" w:sz="0" w:space="0" w:color="auto"/>
          </w:divBdr>
        </w:div>
        <w:div w:id="1108351304">
          <w:marLeft w:val="0"/>
          <w:marRight w:val="0"/>
          <w:marTop w:val="0"/>
          <w:marBottom w:val="0"/>
          <w:divBdr>
            <w:top w:val="none" w:sz="0" w:space="0" w:color="auto"/>
            <w:left w:val="none" w:sz="0" w:space="0" w:color="auto"/>
            <w:bottom w:val="none" w:sz="0" w:space="0" w:color="auto"/>
            <w:right w:val="none" w:sz="0" w:space="0" w:color="auto"/>
          </w:divBdr>
        </w:div>
        <w:div w:id="1114135860">
          <w:marLeft w:val="0"/>
          <w:marRight w:val="0"/>
          <w:marTop w:val="0"/>
          <w:marBottom w:val="0"/>
          <w:divBdr>
            <w:top w:val="none" w:sz="0" w:space="0" w:color="auto"/>
            <w:left w:val="none" w:sz="0" w:space="0" w:color="auto"/>
            <w:bottom w:val="none" w:sz="0" w:space="0" w:color="auto"/>
            <w:right w:val="none" w:sz="0" w:space="0" w:color="auto"/>
          </w:divBdr>
        </w:div>
        <w:div w:id="1462529548">
          <w:marLeft w:val="0"/>
          <w:marRight w:val="0"/>
          <w:marTop w:val="0"/>
          <w:marBottom w:val="0"/>
          <w:divBdr>
            <w:top w:val="none" w:sz="0" w:space="0" w:color="auto"/>
            <w:left w:val="none" w:sz="0" w:space="0" w:color="auto"/>
            <w:bottom w:val="none" w:sz="0" w:space="0" w:color="auto"/>
            <w:right w:val="none" w:sz="0" w:space="0" w:color="auto"/>
          </w:divBdr>
        </w:div>
        <w:div w:id="1480994724">
          <w:marLeft w:val="0"/>
          <w:marRight w:val="0"/>
          <w:marTop w:val="0"/>
          <w:marBottom w:val="0"/>
          <w:divBdr>
            <w:top w:val="none" w:sz="0" w:space="0" w:color="auto"/>
            <w:left w:val="none" w:sz="0" w:space="0" w:color="auto"/>
            <w:bottom w:val="none" w:sz="0" w:space="0" w:color="auto"/>
            <w:right w:val="none" w:sz="0" w:space="0" w:color="auto"/>
          </w:divBdr>
        </w:div>
        <w:div w:id="1968075532">
          <w:marLeft w:val="0"/>
          <w:marRight w:val="0"/>
          <w:marTop w:val="0"/>
          <w:marBottom w:val="0"/>
          <w:divBdr>
            <w:top w:val="none" w:sz="0" w:space="0" w:color="auto"/>
            <w:left w:val="none" w:sz="0" w:space="0" w:color="auto"/>
            <w:bottom w:val="none" w:sz="0" w:space="0" w:color="auto"/>
            <w:right w:val="none" w:sz="0" w:space="0" w:color="auto"/>
          </w:divBdr>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5AIRPNAIUNRU-859666464-8814</_dlc_DocId>
    <_dlc_DocIdUrl xmlns="71c5aaf6-e6ce-465b-b873-5148d2a4c105">
      <Url>https://nokia.sharepoint.com/sites/c5g/e2earch/_layouts/15/DocIdRedir.aspx?ID=5AIRPNAIUNRU-859666464-8814</Url>
      <Description>5AIRPNAIUNRU-859666464-8814</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8C1902D6-9B7E-4BFD-90A1-CBF7C31D63D6}">
  <ds:schemaRefs>
    <ds:schemaRef ds:uri="http://schemas.openxmlformats.org/officeDocument/2006/bibliography"/>
  </ds:schemaRefs>
</ds:datastoreItem>
</file>

<file path=customXml/itemProps3.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4.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6.xml><?xml version="1.0" encoding="utf-8"?>
<ds:datastoreItem xmlns:ds="http://schemas.openxmlformats.org/officeDocument/2006/customXml" ds:itemID="{327C9471-AFB9-4AF0-B224-43A7327339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76</TotalTime>
  <Pages>5</Pages>
  <Words>2584</Words>
  <Characters>14734</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17284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cp:lastModifiedBy>
  <cp:revision>122</cp:revision>
  <dcterms:created xsi:type="dcterms:W3CDTF">2021-04-28T00:43:00Z</dcterms:created>
  <dcterms:modified xsi:type="dcterms:W3CDTF">2021-05-10T15:21:00Z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f2990fe6-6fd4-4061-b81f-d86353c81c0b</vt:lpwstr>
  </property>
</Properties>
</file>